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3A69" w14:textId="1B5C1873" w:rsidR="001921E6" w:rsidRDefault="00B85E98" w:rsidP="00DD2E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Synopsis </w:t>
      </w:r>
      <w:r w:rsidR="002F12C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ethischer Spezifika ethnologischer Feldforschungszugänge </w:t>
      </w:r>
    </w:p>
    <w:p w14:paraId="4A1B88CC" w14:textId="653F0CA8" w:rsidR="00881462" w:rsidRDefault="002D3711" w:rsidP="00DD2E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761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für </w:t>
      </w:r>
      <w:r w:rsidR="001D4BD1" w:rsidRPr="001761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Institutionen der Forschungsförderung sowie </w:t>
      </w:r>
      <w:r w:rsidR="00546649" w:rsidRPr="001761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lokale </w:t>
      </w:r>
      <w:r w:rsidR="001D4BD1" w:rsidRPr="001761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Ethik-Kommissionen</w:t>
      </w:r>
      <w:r w:rsidR="00D053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3ED569B0" w14:textId="77777777" w:rsidR="00CE1630" w:rsidRPr="00176150" w:rsidRDefault="00CE1630" w:rsidP="00DD2E9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3F6A532" w14:textId="0D44475E" w:rsidR="00C42AC1" w:rsidRDefault="0043421C" w:rsidP="001213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Deutsche</w:t>
      </w:r>
      <w:r w:rsidR="006F5909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Gesellschaft für Sozial- und Kulturanthropologie</w:t>
      </w:r>
      <w:r w:rsidR="00F66D67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e.V. (DGSKA)</w:t>
      </w:r>
    </w:p>
    <w:p w14:paraId="114D77B4" w14:textId="77777777" w:rsidR="00CE1630" w:rsidRDefault="00CE1630" w:rsidP="001213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B9C3409" w14:textId="5553E3E6" w:rsidR="00A85FD0" w:rsidRDefault="005F5C72" w:rsidP="00807568">
      <w:pPr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*</w:t>
      </w:r>
      <w:r w:rsidR="0080756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**</w:t>
      </w:r>
    </w:p>
    <w:p w14:paraId="6EC02CA2" w14:textId="5F95714E" w:rsidR="0010649A" w:rsidRPr="0010649A" w:rsidRDefault="00BC724E" w:rsidP="00176150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Der K</w:t>
      </w:r>
      <w:r w:rsidR="00FC118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ontext</w:t>
      </w:r>
    </w:p>
    <w:p w14:paraId="5818D00C" w14:textId="471774B8" w:rsidR="00C47E01" w:rsidRDefault="002A1E22" w:rsidP="00176150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0A4D83" w:rsidRPr="000A4D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 den Sozialwissenschaften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besteht aktuell </w:t>
      </w:r>
      <w:r w:rsidR="000A4D83" w:rsidRPr="000A4D83">
        <w:rPr>
          <w:rFonts w:ascii="Times New Roman" w:hAnsi="Times New Roman" w:cs="Times New Roman"/>
          <w:color w:val="000000" w:themeColor="text1"/>
          <w:sz w:val="22"/>
          <w:szCs w:val="22"/>
        </w:rPr>
        <w:t>Handlungsbedarf in der Verständigung über forschungsethische Grundsätze.</w:t>
      </w:r>
      <w:r w:rsidR="000A4D83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E529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Ethnographische</w:t>
      </w:r>
      <w:r w:rsidR="00CF6D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96945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alltagsweltnahe</w:t>
      </w:r>
      <w:r w:rsidR="00CF6D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96945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Feldforschungszugänge im Allgemeinen und ethnologische Feldforschung </w:t>
      </w:r>
      <w:r w:rsidR="004A1161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 Besonderen, </w:t>
      </w:r>
      <w:r w:rsidR="00E96945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generieren spezifische 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Anforderungen an ethisches </w:t>
      </w:r>
      <w:r w:rsidR="00D95509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Forschungsv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erhalten</w:t>
      </w:r>
      <w:r w:rsidR="002237C3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Diese lassen 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sich </w:t>
      </w:r>
      <w:r w:rsidR="00D95509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aus 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klassische</w:t>
      </w:r>
      <w:r w:rsidR="00CF6D07">
        <w:rPr>
          <w:rFonts w:ascii="Times New Roman" w:hAnsi="Times New Roman" w:cs="Times New Roman"/>
          <w:color w:val="000000" w:themeColor="text1"/>
          <w:sz w:val="22"/>
          <w:szCs w:val="22"/>
        </w:rPr>
        <w:t>n, an</w:t>
      </w:r>
      <w:r w:rsidR="00F5008C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kontrollierten Forschungssettings </w:t>
      </w:r>
      <w:r w:rsidR="00CF6D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orientierten 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Ethikstandards nur </w:t>
      </w:r>
      <w:r w:rsidR="00D95509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bedingt </w:t>
      </w:r>
      <w:r w:rsidR="002237C3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ableiten.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Auf die </w:t>
      </w:r>
      <w:r w:rsidR="001064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ethischen 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Spezifika </w:t>
      </w:r>
      <w:r w:rsidR="001064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ethnologischer Feldforschungszugänge 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und deren Folgen für eine angemessene </w:t>
      </w:r>
      <w:r w:rsidR="00D95509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Beurteilung 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 Rahmen von </w:t>
      </w:r>
      <w:r w:rsidR="0025203B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Ethical-Review</w:t>
      </w:r>
      <w:r w:rsidR="0025203B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-Prozessen</w:t>
      </w:r>
      <w:r w:rsidR="002237C3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649A">
        <w:rPr>
          <w:rFonts w:ascii="Times New Roman" w:hAnsi="Times New Roman" w:cs="Times New Roman"/>
          <w:color w:val="000000" w:themeColor="text1"/>
          <w:sz w:val="22"/>
          <w:szCs w:val="22"/>
        </w:rPr>
        <w:t>geht d</w:t>
      </w:r>
      <w:r w:rsidR="002E52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 vorliegende </w:t>
      </w:r>
      <w:r w:rsidR="0010649A">
        <w:rPr>
          <w:rFonts w:ascii="Times New Roman" w:hAnsi="Times New Roman" w:cs="Times New Roman"/>
          <w:color w:val="000000" w:themeColor="text1"/>
          <w:sz w:val="22"/>
          <w:szCs w:val="22"/>
        </w:rPr>
        <w:t>Papier ein</w:t>
      </w:r>
      <w:r w:rsidR="002237C3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665C42" w:rsidRPr="00E15F00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1"/>
      </w:r>
      <w:r w:rsidR="00C47E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9B97CDE" w14:textId="1F7C6C45" w:rsidR="004E3C7D" w:rsidRPr="00BC724E" w:rsidRDefault="004E3C7D" w:rsidP="00731E84">
      <w:pPr>
        <w:pStyle w:val="Listenabsatz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5F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Ethnogra</w:t>
      </w:r>
      <w:r w:rsidR="00E73A3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ph</w:t>
      </w:r>
      <w:r w:rsidRPr="00E15F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ie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und ethnologische Feldforschung</w:t>
      </w:r>
      <w:r w:rsidRPr="00E15F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2A5A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Ethnographisches Arbeiten verweist auf</w:t>
      </w:r>
      <w:r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6C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eine </w:t>
      </w:r>
      <w:r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feldbasierte Methodologie, die soziokulturelle Phänomene alltagsnah in ihrer lebensweltlichen Einbettung sowie mit Blick auf die damit verbundenen Kontexte, Praktiken und Prozesse der </w:t>
      </w:r>
      <w:r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Sinngebung untersucht </w:t>
      </w:r>
      <w:r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(Forschungsmotto</w:t>
      </w:r>
      <w:r w:rsidR="00D45FE4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0A4D8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“</w:t>
      </w:r>
      <w:r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verstehen statt erklären</w:t>
      </w:r>
      <w:r w:rsidR="000A4D8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”</w:t>
      </w:r>
      <w:r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).</w:t>
      </w:r>
      <w:r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Die ethnologische Feldforschung zeichnet sich durch einen holistischen Feldzugang (Betrachtung konkreter Forschungsfragen in ihrer Wechselwirkung mit dem gesamtkulturellen Kontext</w:t>
      </w:r>
      <w:r w:rsidR="008D3C7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und die persönliche Augenzeugenschaft und Teilintegration mittels „teilnehmender Beobachtung“</w:t>
      </w:r>
      <w:r w:rsidR="00D45FE4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in ein sozial und  räumlich begrenztes Forschungsfeld über einen längeren (ggf. mit Spracherwerb verbundenen) Zeitraum aus (Kohl 2012, Eriksen 2015</w:t>
      </w:r>
      <w:r w:rsidRPr="00BC724E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2"/>
      </w:r>
      <w:r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Dieser spezifische Forschungszugang hat </w:t>
      </w:r>
      <w:r w:rsidR="004A54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wichtige </w:t>
      </w:r>
      <w:r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forschungsethische Implikationen</w:t>
      </w:r>
      <w:r w:rsidR="004A54D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29AEDB00" w14:textId="6199B973" w:rsidR="00A8419E" w:rsidRPr="00BC724E" w:rsidRDefault="00112DAF" w:rsidP="00731E84">
      <w:pPr>
        <w:pStyle w:val="Listenabsatz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Wissensproduktion</w:t>
      </w:r>
      <w:r w:rsidR="00FB272E" w:rsidRPr="00BC724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FB272E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3025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Neben </w:t>
      </w:r>
      <w:r w:rsidR="00A8419E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Formen </w:t>
      </w:r>
      <w:r w:rsidR="00D3025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der systematischen, kontrollierten Datenerhebung </w:t>
      </w:r>
      <w:r w:rsidR="0056267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und formeller Interview</w:t>
      </w:r>
      <w:r w:rsidR="006F237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führung</w:t>
      </w:r>
      <w:r w:rsidR="0056267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treten in der </w:t>
      </w:r>
      <w:r w:rsidR="00D3025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ethno</w:t>
      </w:r>
      <w:r w:rsidR="00A8419E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graphische</w:t>
      </w:r>
      <w:r w:rsidR="0056267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A8419E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267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446CD8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A8419E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rschung </w:t>
      </w:r>
      <w:r w:rsidR="0056267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alltagsnahe, </w:t>
      </w:r>
      <w:r w:rsidR="00D3025D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offen</w:t>
      </w:r>
      <w:r w:rsidR="00CF6D0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angelegte</w:t>
      </w:r>
      <w:r w:rsidR="00D3025D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,</w:t>
      </w:r>
      <w:r w:rsidR="00D3025D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über </w:t>
      </w:r>
      <w:r w:rsidR="00351EA8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weite Strecken </w:t>
      </w:r>
      <w:r w:rsidR="00351EA8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dialogische</w:t>
      </w:r>
      <w:r w:rsidR="00FB272E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,</w:t>
      </w:r>
      <w:r w:rsidR="00351EA8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6F2377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interaktive </w:t>
      </w:r>
      <w:r w:rsidR="00FB272E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und kollaborative </w:t>
      </w:r>
      <w:r w:rsidR="001250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F</w:t>
      </w:r>
      <w:r w:rsidR="0056267D" w:rsidRPr="00BC724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ormen</w:t>
      </w:r>
      <w:r w:rsidR="001250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de</w:t>
      </w:r>
      <w:r w:rsidR="008B373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</w:t>
      </w:r>
      <w:r w:rsidR="001250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Wissensproduktion</w:t>
      </w:r>
      <w:r w:rsidR="0098618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  <w:r w:rsidR="002E07B9">
        <w:rPr>
          <w:rStyle w:val="Funotenzeichen"/>
          <w:rFonts w:ascii="Times New Roman" w:hAnsi="Times New Roman" w:cs="Times New Roman"/>
          <w:i/>
          <w:color w:val="000000" w:themeColor="text1"/>
          <w:sz w:val="22"/>
          <w:szCs w:val="22"/>
        </w:rPr>
        <w:footnoteReference w:id="3"/>
      </w:r>
      <w:r w:rsidR="0016361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52A3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Die Übergänge zwischen öffentlichen/ungeschützten</w:t>
      </w:r>
      <w:r w:rsidR="002A4878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52A3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und privaten/geschützten </w:t>
      </w:r>
      <w:r w:rsidR="00496E36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Räumen</w:t>
      </w:r>
      <w:r w:rsidR="00F52A3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, formellen und informellen Forschungssituationen</w:t>
      </w:r>
      <w:r w:rsidR="00E851D8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52A3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Beobachtung und Teilnahme</w:t>
      </w:r>
      <w:r w:rsidR="00546649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sowie ausgeprägter und schwacher Kollaboration </w:t>
      </w:r>
      <w:r w:rsidR="00F52A3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sind dabei fließend und</w:t>
      </w:r>
      <w:r w:rsidR="00D42BC2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6361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variier</w:t>
      </w:r>
      <w:r w:rsidR="00F52A3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en</w:t>
      </w:r>
      <w:r w:rsidR="0016361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F237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je nach Forschungs</w:t>
      </w:r>
      <w:r w:rsidR="0063082E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gegenstand</w:t>
      </w:r>
      <w:r w:rsidR="006F237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07568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>Forschungs</w:t>
      </w:r>
      <w:r w:rsidR="006F2377" w:rsidRPr="00BC72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situation und </w:t>
      </w:r>
      <w:r w:rsidR="004A54D2">
        <w:rPr>
          <w:rFonts w:ascii="Times New Roman" w:hAnsi="Times New Roman" w:cs="Times New Roman"/>
          <w:color w:val="000000" w:themeColor="text1"/>
          <w:sz w:val="22"/>
          <w:szCs w:val="22"/>
        </w:rPr>
        <w:t>Interaktionspartner</w:t>
      </w:r>
      <w:r w:rsidR="002159E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D76AA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4A54D2">
        <w:rPr>
          <w:rFonts w:ascii="Times New Roman" w:hAnsi="Times New Roman" w:cs="Times New Roman"/>
          <w:color w:val="000000" w:themeColor="text1"/>
          <w:sz w:val="22"/>
          <w:szCs w:val="22"/>
        </w:rPr>
        <w:t>nnen</w:t>
      </w:r>
      <w:r w:rsidR="004E64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Daraus </w:t>
      </w:r>
      <w:r w:rsidR="00F01943">
        <w:rPr>
          <w:rFonts w:ascii="Times New Roman" w:hAnsi="Times New Roman" w:cs="Times New Roman"/>
          <w:color w:val="000000" w:themeColor="text1"/>
          <w:sz w:val="22"/>
          <w:szCs w:val="22"/>
        </w:rPr>
        <w:t>ergibt sich</w:t>
      </w:r>
      <w:r w:rsidR="004E640B">
        <w:rPr>
          <w:rFonts w:ascii="Times New Roman" w:hAnsi="Times New Roman" w:cs="Times New Roman"/>
          <w:color w:val="000000" w:themeColor="text1"/>
          <w:sz w:val="22"/>
          <w:szCs w:val="22"/>
        </w:rPr>
        <w:t>, dass eine a priori vorgenommene</w:t>
      </w:r>
      <w:r w:rsidR="00F019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Beantwortung und Überprü</w:t>
      </w:r>
      <w:r w:rsidR="00630A29">
        <w:rPr>
          <w:rFonts w:ascii="Times New Roman" w:hAnsi="Times New Roman" w:cs="Times New Roman"/>
          <w:color w:val="000000" w:themeColor="text1"/>
          <w:sz w:val="22"/>
          <w:szCs w:val="22"/>
        </w:rPr>
        <w:t>fbarkeit</w:t>
      </w:r>
      <w:r w:rsidR="00F019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damit verbundener ethischer </w:t>
      </w:r>
      <w:r w:rsidR="00630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Fragen </w:t>
      </w:r>
      <w:r w:rsidR="004C4919">
        <w:rPr>
          <w:rFonts w:ascii="Times New Roman" w:hAnsi="Times New Roman" w:cs="Times New Roman"/>
          <w:color w:val="000000" w:themeColor="text1"/>
          <w:sz w:val="22"/>
          <w:szCs w:val="22"/>
        </w:rPr>
        <w:t>im Einzelfall</w:t>
      </w:r>
      <w:r w:rsidR="00F019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ggf. </w:t>
      </w:r>
      <w:r w:rsidR="004E64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erschwert bzw. verunmöglicht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sein kann</w:t>
      </w:r>
      <w:r w:rsidR="004E64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28F588B9" w14:textId="3B6F1F8D" w:rsidR="00226DE2" w:rsidRPr="000406F0" w:rsidRDefault="00324ABD" w:rsidP="00731E84">
      <w:pPr>
        <w:pStyle w:val="Listenabsatz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06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Informierte Zustimmung</w:t>
      </w:r>
      <w:r w:rsidR="00FB272E" w:rsidRPr="000406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FB272E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B37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Ethnogra</w:t>
      </w:r>
      <w:r w:rsidR="001325F7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ph</w:t>
      </w:r>
      <w:r w:rsidR="008B37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ische Forschung kann zu Situationen führen, die es unmöglich machen, eine vorherige informierte Zustimmung </w:t>
      </w:r>
      <w:r w:rsidR="0098618B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einzuholen</w:t>
      </w:r>
      <w:r w:rsidR="008B37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In Kontexten von Gewalt oder Vulnerabilität kann eine schriftliche Einwilligung </w:t>
      </w:r>
      <w:r w:rsidR="00E73A35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die </w:t>
      </w:r>
      <w:r w:rsidR="008B37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Privatsphäre oder physische Integrität der Forschungsteilnehmenden sogar massiv gefährden (vgl. EASA 2018). Angepasste Formen (z.B. eines mündlich ausgesprochenen </w:t>
      </w:r>
      <w:r w:rsidR="008B373D" w:rsidRPr="000406F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“Informal Consent Without Forms”)</w:t>
      </w:r>
      <w:r w:rsidR="008B37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müssen in solchen Situationen an ihre Stelle treten.</w:t>
      </w:r>
      <w:r w:rsidR="00881462" w:rsidRPr="000406F0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4"/>
      </w:r>
      <w:r w:rsidR="00D42BC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03DD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Ethische Begutachtung sollte </w:t>
      </w:r>
      <w:r w:rsidR="0017549B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deshalb im Sinne einer</w:t>
      </w:r>
      <w:r w:rsidR="00F374CB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 den besonderen Herausforderungen des Fachs Ethnologie orientierten </w:t>
      </w:r>
      <w:r w:rsidR="0017549B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Feldethik </w:t>
      </w:r>
      <w:r w:rsidR="00503DDD" w:rsidRPr="000406F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(“doing ethics anthropologically”;</w:t>
      </w:r>
      <w:r w:rsidR="00503DD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Lederman 2017), </w:t>
      </w:r>
      <w:r w:rsidR="008B37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grundsätzlich auf die Ermöglichung einer </w:t>
      </w:r>
      <w:r w:rsidR="000D2AB4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kontextabhängig </w:t>
      </w:r>
      <w:r w:rsidR="0017549B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flexiblen</w:t>
      </w:r>
      <w:r w:rsidR="008F68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416D1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8B373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orschungssteuerung ausgerichtet sein</w:t>
      </w:r>
      <w:r w:rsidR="00B9453E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98FF0AA" w14:textId="229FCCB2" w:rsidR="00276540" w:rsidRPr="00E15F00" w:rsidRDefault="00C72072" w:rsidP="00731E84">
      <w:pPr>
        <w:pStyle w:val="Listenabsatz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15F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Vertrauen</w:t>
      </w:r>
      <w:r w:rsidR="00FB272E" w:rsidRPr="00E15F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FB272E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Der Zugang zum Forschungsfeld und d</w:t>
      </w:r>
      <w:r w:rsidR="00226DE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ie Qualität </w:t>
      </w:r>
      <w:r w:rsidR="00541001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von über Beobachtung oder Teilnahme erhobenen,</w:t>
      </w:r>
      <w:r w:rsidR="00226DE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41001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bzw. mit Forschungspartner</w:t>
      </w:r>
      <w:r w:rsidR="002159E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D76AA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4E3C7D">
        <w:rPr>
          <w:rFonts w:ascii="Times New Roman" w:hAnsi="Times New Roman" w:cs="Times New Roman"/>
          <w:color w:val="000000" w:themeColor="text1"/>
          <w:sz w:val="22"/>
          <w:szCs w:val="22"/>
        </w:rPr>
        <w:t>nnen</w:t>
      </w:r>
      <w:r w:rsidR="00541001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kollaborativ produzierten</w:t>
      </w:r>
      <w:r w:rsidR="00226DE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Daten </w:t>
      </w:r>
      <w:r w:rsidR="00503D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und Forschungsmaterialien </w:t>
      </w:r>
      <w:r w:rsidR="00226DE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häng</w:t>
      </w:r>
      <w:r w:rsidR="00D45FE4">
        <w:rPr>
          <w:rFonts w:ascii="Times New Roman" w:hAnsi="Times New Roman" w:cs="Times New Roman"/>
          <w:color w:val="000000" w:themeColor="text1"/>
          <w:sz w:val="22"/>
          <w:szCs w:val="22"/>
        </w:rPr>
        <w:t>en</w:t>
      </w:r>
      <w:r w:rsidR="00226DE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ganz wesentlich von dem in der Forschungsbeziehung aufgebauten </w:t>
      </w:r>
      <w:r w:rsidR="006308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wechselseitigen </w:t>
      </w:r>
      <w:r w:rsidR="00226DE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Vertrauen ab. Aus diesem Vertrauen </w:t>
      </w:r>
      <w:r w:rsidR="000150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oft räumlich begrenzten Forschungssettings </w:t>
      </w:r>
      <w:r w:rsidR="00226DE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erwächst eine besondere Verantwortung</w:t>
      </w:r>
      <w:r w:rsidR="00541001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hinsichtlich des Schutzes der Forschungspartner</w:t>
      </w:r>
      <w:r w:rsidR="002159E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D76AA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541001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nnen selbst </w:t>
      </w:r>
      <w:r w:rsidR="00541001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</w:t>
      </w:r>
      <w:r w:rsidR="00163617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</w:t>
      </w:r>
      <w:r w:rsidR="00541001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o-</w:t>
      </w:r>
      <w:r w:rsidR="00163617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</w:t>
      </w:r>
      <w:r w:rsidR="00541001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o-</w:t>
      </w:r>
      <w:r w:rsidR="00163617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</w:t>
      </w:r>
      <w:r w:rsidR="00541001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ar</w:t>
      </w:r>
      <w:r w:rsidR="005F2019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  <w:r w:rsidR="00C47E0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-Prinzip</w:t>
      </w:r>
      <w:r w:rsidR="00881462" w:rsidRPr="00CF6D07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5"/>
      </w:r>
      <w:r w:rsidR="005F2019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;</w:t>
      </w:r>
      <w:r w:rsidR="00C47E0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Pseudonymisierung</w:t>
      </w:r>
      <w:r w:rsidR="00163617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C47E0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oder </w:t>
      </w:r>
      <w:r w:rsidR="00163617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Anonymi</w:t>
      </w:r>
      <w:r w:rsidR="00C47E0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sierung</w:t>
      </w:r>
      <w:r w:rsidR="002125D0" w:rsidRPr="00CF6D07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6"/>
      </w:r>
      <w:r w:rsidR="00541001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  <w:r w:rsidR="00BC0073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BC0073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sowie des Umgangs mit vertraulich gegebenen Informationen </w:t>
      </w:r>
      <w:r w:rsidR="0088146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gegenüber anderen Akteur</w:t>
      </w:r>
      <w:r w:rsidR="002159E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D76AA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4E3C7D">
        <w:rPr>
          <w:rFonts w:ascii="Times New Roman" w:hAnsi="Times New Roman" w:cs="Times New Roman"/>
          <w:color w:val="000000" w:themeColor="text1"/>
          <w:sz w:val="22"/>
          <w:szCs w:val="22"/>
        </w:rPr>
        <w:t>nnen</w:t>
      </w:r>
      <w:r w:rsidR="00881462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15F00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</w:t>
      </w:r>
      <w:r w:rsidR="000A4D8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“</w:t>
      </w:r>
      <w:r w:rsidR="00E15F00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competing ethical obligations</w:t>
      </w:r>
      <w:r w:rsidR="000A4D8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”</w:t>
      </w:r>
      <w:r w:rsidR="00E15F00" w:rsidRPr="00CF6D07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7"/>
      </w:r>
      <w:r w:rsidR="00E15F00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  <w:r w:rsidR="00F94CF3" w:rsidRPr="00E15F0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42BC2" w:rsidRPr="00E15F0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14:paraId="7E2FCA94" w14:textId="6DF6FF66" w:rsidR="00BC0073" w:rsidRPr="000406F0" w:rsidRDefault="00A42976" w:rsidP="00731E84">
      <w:pPr>
        <w:pStyle w:val="Listenabsatz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6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Eigentümerschaft</w:t>
      </w:r>
      <w:r w:rsidR="00C72072" w:rsidRPr="00336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="00C7207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Wissensbestände stehen in ethnologischen Forschungen häufig nicht über </w:t>
      </w:r>
      <w:r w:rsidR="004E3C7D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offiziell adressierbare </w:t>
      </w:r>
      <w:r w:rsidR="000A4D8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F94CF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Expert</w:t>
      </w:r>
      <w:r w:rsidR="002159E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D76AA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4E3C7D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nnen</w:t>
      </w:r>
      <w:r w:rsidR="000A4D8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F94CF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7207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bzw. schriftlich zugängliche Quellen zur Verfügung, sondern sind an bestimmte Personen</w:t>
      </w:r>
      <w:r w:rsidR="004A54D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und</w:t>
      </w:r>
      <w:r w:rsidR="00C7207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94CF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Begegnungss</w:t>
      </w:r>
      <w:r w:rsidR="00C7207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ituationen </w:t>
      </w:r>
      <w:r w:rsidR="004A54D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gebunden, die in spezifische </w:t>
      </w:r>
      <w:r w:rsidR="00C7207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Machtkonstellationen</w:t>
      </w:r>
      <w:r w:rsidR="004A54D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eingebettet sind</w:t>
      </w:r>
      <w:r w:rsidR="00C7207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A54D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Die 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Sicherung, Übersetzung</w:t>
      </w:r>
      <w:r w:rsidR="00EE0126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und 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Mitnahme </w:t>
      </w:r>
      <w:r w:rsidR="004A54D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von Wissen 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unterliegt </w:t>
      </w:r>
      <w:r w:rsidR="004A54D2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zudem </w:t>
      </w:r>
      <w:r w:rsidR="00B3331B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nicht nur </w:t>
      </w:r>
      <w:r w:rsidR="006943C0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B3331B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inter</w:t>
      </w:r>
      <w:r w:rsidR="006943C0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)n</w:t>
      </w:r>
      <w:r w:rsidR="00B3331B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ationalen </w:t>
      </w:r>
      <w:r w:rsidR="006943C0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Datenschutzverordnungen, sondern oft auch 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lokalen Regeln</w:t>
      </w:r>
      <w:r w:rsidR="00112DAF">
        <w:rPr>
          <w:rFonts w:ascii="Times New Roman" w:hAnsi="Times New Roman" w:cs="Times New Roman"/>
          <w:color w:val="000000" w:themeColor="text1"/>
          <w:sz w:val="22"/>
          <w:szCs w:val="22"/>
        </w:rPr>
        <w:t>, bzw.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Restriktionen</w:t>
      </w:r>
      <w:r w:rsidR="001250BD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der Wissensweitergabe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Dies impliziert komplexe </w:t>
      </w:r>
      <w:r w:rsidR="002E52FB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Aushandlungsf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>ragen</w:t>
      </w:r>
      <w:r w:rsidR="00E55C16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bezüglich der </w:t>
      </w:r>
      <w:r w:rsidR="002E52FB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individuellen oder kulturellen </w:t>
      </w:r>
      <w:r w:rsidR="00BC0073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Co-Eigentümerschaft von </w:t>
      </w:r>
      <w:r w:rsidR="001250BD" w:rsidRPr="00336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Wissensbeständen </w:t>
      </w:r>
      <w:r w:rsidR="00BC0073" w:rsidRPr="00336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</w:t>
      </w:r>
      <w:r w:rsidR="0036213F" w:rsidRPr="00336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Shared Cultural </w:t>
      </w:r>
      <w:r w:rsidR="00BC0073" w:rsidRPr="00336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Ownership</w:t>
      </w:r>
      <w:r w:rsidR="0036213F" w:rsidRPr="00CF6D07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8"/>
      </w:r>
      <w:r w:rsidR="00BC0073" w:rsidRPr="00336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  <w:r w:rsidR="00E556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2659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Gleichzeitig </w:t>
      </w:r>
      <w:r w:rsidR="00F374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kann </w:t>
      </w:r>
      <w:r w:rsidR="00A12B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dies zu </w:t>
      </w:r>
      <w:r w:rsidR="00E55C16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Einschränkungen</w:t>
      </w:r>
      <w:r w:rsidR="00BC0073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03DD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bei </w:t>
      </w:r>
      <w:r w:rsidR="002E07B9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der Verbreitung von Forschungsergebnissen</w:t>
      </w:r>
      <w:r w:rsidR="00002C2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E07B9" w:rsidRPr="000406F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footnoteReference w:id="9"/>
      </w:r>
      <w:r w:rsidR="0048598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59F3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bei </w:t>
      </w:r>
      <w:r w:rsidR="0048598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deren Weitergabe an Forschungs</w:t>
      </w:r>
      <w:r w:rsidR="00112DAF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förder</w:t>
      </w:r>
      <w:r w:rsidR="002659F3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ungsinstitutionen</w:t>
      </w:r>
      <w:r w:rsidR="0048598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C4AF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oder </w:t>
      </w:r>
      <w:r w:rsidR="0048598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Auftraggeber,</w:t>
      </w:r>
      <w:r w:rsidR="002E07B9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bzw. </w:t>
      </w:r>
      <w:r w:rsidR="004F468B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bei </w:t>
      </w:r>
      <w:r w:rsidR="002E07B9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der </w:t>
      </w:r>
      <w:r w:rsidR="00086BA4">
        <w:rPr>
          <w:rFonts w:ascii="Times New Roman" w:hAnsi="Times New Roman" w:cs="Times New Roman"/>
          <w:color w:val="000000" w:themeColor="text1"/>
          <w:sz w:val="22"/>
          <w:szCs w:val="22"/>
        </w:rPr>
        <w:t>Langzeita</w:t>
      </w:r>
      <w:r w:rsidR="005F69A7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rchivierung</w:t>
      </w:r>
      <w:r w:rsidR="00485982" w:rsidRPr="000406F0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10"/>
      </w:r>
      <w:r w:rsidR="005F69A7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und Bereitstellung </w:t>
      </w:r>
      <w:r w:rsidR="00BC0073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von </w:t>
      </w:r>
      <w:r w:rsidR="001250BD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Forschungsunterlagen</w:t>
      </w:r>
      <w:r w:rsidR="00E15F00" w:rsidRPr="000406F0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11"/>
      </w:r>
      <w:r w:rsidR="00BC0073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(insbesondere persönliche</w:t>
      </w:r>
      <w:r w:rsidR="00FC118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="00BC0073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Feldnotizen/Feldtagebücher) </w:t>
      </w:r>
      <w:r w:rsidR="00485982" w:rsidRPr="000406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 Rahmen einer </w:t>
      </w:r>
      <w:r w:rsidR="00BC0073" w:rsidRPr="000406F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Open-Data-Policy</w:t>
      </w:r>
      <w:r w:rsidR="00116629" w:rsidRPr="000406F0">
        <w:rPr>
          <w:rStyle w:val="Funotenzeichen"/>
          <w:rFonts w:ascii="Times New Roman" w:hAnsi="Times New Roman" w:cs="Times New Roman"/>
          <w:i/>
          <w:color w:val="000000" w:themeColor="text1"/>
          <w:sz w:val="22"/>
          <w:szCs w:val="22"/>
        </w:rPr>
        <w:footnoteReference w:id="12"/>
      </w:r>
      <w:r w:rsidR="00A12B5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A12B53" w:rsidRPr="00A12B53">
        <w:rPr>
          <w:rFonts w:ascii="Times New Roman" w:hAnsi="Times New Roman" w:cs="Times New Roman"/>
          <w:color w:val="000000" w:themeColor="text1"/>
          <w:sz w:val="22"/>
          <w:szCs w:val="22"/>
        </w:rPr>
        <w:t>führen</w:t>
      </w:r>
      <w:r w:rsidR="00A12B5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116629" w:rsidRPr="000406F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14:paraId="69B08070" w14:textId="03E42BDB" w:rsidR="00B82DB3" w:rsidRDefault="00276540" w:rsidP="00731E84">
      <w:pPr>
        <w:pStyle w:val="Listenabsatz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7F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Ethikkodizes: </w:t>
      </w:r>
      <w:r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Seit den 1960er Jahren haben ethnologische Fachgesellschaften weltweit Kodizes für verantwortungsvolles Forschen entwickelt und veränderten Forschungsbedingungen und Forschungsfeldern angepasst. Diesen </w:t>
      </w:r>
      <w:r w:rsidR="001947BB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fachspezifischen Ethikprinzipien </w:t>
      </w:r>
      <w:r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1947BB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vgl. </w:t>
      </w:r>
      <w:r w:rsidR="005E352D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stellvertretend </w:t>
      </w:r>
      <w:r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die </w:t>
      </w:r>
      <w:hyperlink r:id="rId8" w:history="1">
        <w:r w:rsidR="000A4D83" w:rsidRPr="0002414A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</w:rPr>
          <w:t>“</w:t>
        </w:r>
        <w:r w:rsidR="001947BB" w:rsidRPr="0002414A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</w:rPr>
          <w:t>Principles of Professional Responsibility</w:t>
        </w:r>
        <w:r w:rsidR="000A4D83" w:rsidRPr="0002414A">
          <w:rPr>
            <w:rStyle w:val="Hyperlink"/>
            <w:rFonts w:ascii="Times New Roman" w:hAnsi="Times New Roman" w:cs="Times New Roman"/>
            <w:i/>
            <w:color w:val="auto"/>
            <w:sz w:val="22"/>
            <w:szCs w:val="22"/>
          </w:rPr>
          <w:t>”</w:t>
        </w:r>
      </w:hyperlink>
      <w:r w:rsidR="001947BB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der American Anthropological Association </w:t>
      </w:r>
      <w:r w:rsidR="00FC1182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von </w:t>
      </w:r>
      <w:r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50562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fühlen sich auch </w:t>
      </w:r>
      <w:r w:rsidR="001947BB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Ethnolog</w:t>
      </w:r>
      <w:r w:rsidR="002159E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1947BB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innen </w:t>
      </w:r>
      <w:r w:rsidR="0063082E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D45FE4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 deutschsprachigen Raum </w:t>
      </w:r>
      <w:r w:rsidR="001947BB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verpflichtet. Für die Mitglieder der DGSKA existiert seit 200</w:t>
      </w:r>
      <w:r w:rsidR="005E352D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1947BB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47BB" w:rsidRPr="0002414A">
        <w:rPr>
          <w:rFonts w:ascii="Times New Roman" w:hAnsi="Times New Roman" w:cs="Times New Roman"/>
          <w:sz w:val="22"/>
          <w:szCs w:val="22"/>
        </w:rPr>
        <w:t xml:space="preserve">eine </w:t>
      </w:r>
      <w:hyperlink r:id="rId9" w:history="1">
        <w:r w:rsidR="001947BB" w:rsidRPr="0002414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Erklärung zur Forschungsethik</w:t>
        </w:r>
      </w:hyperlink>
      <w:r w:rsidR="001325F7" w:rsidRPr="002B7F0F">
        <w:rPr>
          <w:rFonts w:ascii="Times New Roman" w:hAnsi="Times New Roman" w:cs="Times New Roman"/>
          <w:sz w:val="22"/>
          <w:szCs w:val="22"/>
        </w:rPr>
        <w:t>.</w:t>
      </w:r>
      <w:r w:rsidR="002B7F0F" w:rsidRPr="002B7F0F">
        <w:rPr>
          <w:rFonts w:ascii="Times New Roman" w:hAnsi="Times New Roman" w:cs="Times New Roman"/>
          <w:sz w:val="22"/>
          <w:szCs w:val="22"/>
          <w:vertAlign w:val="superscript"/>
        </w:rPr>
        <w:footnoteReference w:id="13"/>
      </w:r>
      <w:r w:rsidR="002B7F0F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Auch wenn </w:t>
      </w:r>
      <w:r w:rsidR="00A65C31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der Respekt vor 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kulturspezifischen ethischen Normen </w:t>
      </w:r>
      <w:r w:rsidR="00A65C31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bzw. lokalen 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Praxen des </w:t>
      </w:r>
      <w:r w:rsidR="00A65C31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‚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guten Handelns</w:t>
      </w:r>
      <w:r w:rsidR="00123DA5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0820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eine zentrale Voraussetzung für ethnologische Forschung darstellt, wird hier 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der in der </w:t>
      </w:r>
      <w:r w:rsidR="00E73A35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UN-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Menschrecht</w:t>
      </w:r>
      <w:r w:rsidR="00123DA5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3977C2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charta </w:t>
      </w:r>
      <w:r w:rsidR="004C10AA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>festgelegte Vorrang der individuellen Würde des Menschen</w:t>
      </w:r>
      <w:r w:rsidR="00A65C31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als letztliche Richtschnur für das eigene Handeln im Feld</w:t>
      </w:r>
      <w:r w:rsidR="00260820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festgelegt</w:t>
      </w:r>
      <w:r w:rsidR="000846A2" w:rsidRPr="002B7F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449DB500" w14:textId="1A0562B2" w:rsidR="002B7F0F" w:rsidRDefault="00A27598" w:rsidP="007D4541">
      <w:pPr>
        <w:pStyle w:val="Listenabsatz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7534">
        <w:rPr>
          <w:rFonts w:ascii="Times New Roman" w:hAnsi="Times New Roman" w:cs="Times New Roman"/>
          <w:b/>
          <w:sz w:val="22"/>
          <w:szCs w:val="22"/>
        </w:rPr>
        <w:t>Leitlinien</w:t>
      </w:r>
      <w:r w:rsidR="00B82DB3" w:rsidRPr="00907534">
        <w:rPr>
          <w:rFonts w:ascii="Times New Roman" w:hAnsi="Times New Roman" w:cs="Times New Roman"/>
          <w:b/>
          <w:sz w:val="22"/>
          <w:szCs w:val="22"/>
        </w:rPr>
        <w:t xml:space="preserve"> und weitere Handreichungen</w:t>
      </w:r>
      <w:r w:rsidR="00B82DB3" w:rsidRPr="0002414A">
        <w:rPr>
          <w:rFonts w:ascii="Times New Roman" w:hAnsi="Times New Roman" w:cs="Times New Roman"/>
          <w:b/>
          <w:sz w:val="22"/>
          <w:szCs w:val="22"/>
        </w:rPr>
        <w:t>:</w:t>
      </w:r>
      <w:r w:rsidR="00907534">
        <w:rPr>
          <w:rStyle w:val="Funotenzeichen"/>
          <w:rFonts w:ascii="Times New Roman" w:hAnsi="Times New Roman" w:cs="Times New Roman"/>
          <w:b/>
          <w:sz w:val="22"/>
          <w:szCs w:val="22"/>
        </w:rPr>
        <w:footnoteReference w:id="14"/>
      </w:r>
      <w:r w:rsidR="00B82DB3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5779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ergänzen die </w:t>
      </w:r>
      <w:r w:rsidR="003977C2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DGSKA-</w:t>
      </w:r>
      <w:r w:rsidR="00815779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Ethikerklärung und </w:t>
      </w:r>
      <w:r w:rsidR="001D709F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sollen </w:t>
      </w:r>
      <w:r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bei Forschungsanträgen bzw. i</w:t>
      </w:r>
      <w:r w:rsidR="003C0BE6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 Rahmen von </w:t>
      </w:r>
      <w:r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Forschungsdesigns</w:t>
      </w:r>
      <w:r w:rsidR="00815779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D7968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helfen</w:t>
      </w:r>
      <w:r w:rsidR="007A17FB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0BE6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vorher </w:t>
      </w:r>
      <w:r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absehbaren ethischen Dilemmata</w:t>
      </w:r>
      <w:r w:rsidR="001D709F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 Feld</w:t>
      </w:r>
      <w:r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05386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reflektierend </w:t>
      </w:r>
      <w:r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zu begegnen.</w:t>
      </w:r>
      <w:r w:rsidR="00123DA5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82DB3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 dient der </w:t>
      </w:r>
      <w:r w:rsidR="00B82DB3" w:rsidRPr="00B82D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Risikobewertungsbogen </w:t>
      </w:r>
      <w:r w:rsidR="00B82DB3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zur Einschätzung vermeidbare</w:t>
      </w:r>
      <w:r w:rsidR="00147370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="00B82DB3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Risiken im Feld, der </w:t>
      </w:r>
      <w:r w:rsidR="00B82DB3" w:rsidRPr="00B82DB3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Ethik-Reflexionsbogen</w:t>
      </w:r>
      <w:r w:rsidR="00B82DB3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wo erforderlich - der Dokumentation, dass ein durch die Fachgesellschaft legitimierter Peer-Review-Prozess vor der Forschung stattgefunden hat. </w:t>
      </w:r>
      <w:r w:rsidR="00E8038C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Auch gibt es inzwischen </w:t>
      </w:r>
      <w:r w:rsidR="00507555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vorbereitende </w:t>
      </w:r>
      <w:r w:rsidR="00E8038C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Online-</w:t>
      </w:r>
      <w:r w:rsidR="00B82DB3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Ressourcen</w:t>
      </w:r>
      <w:r w:rsidR="00907534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15"/>
      </w:r>
      <w:r w:rsidR="00B82DB3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und </w:t>
      </w:r>
      <w:r w:rsidR="00E8038C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Tutorials zur Feldforschungsethik</w:t>
      </w:r>
      <w:r w:rsidR="00507555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0562D">
        <w:rPr>
          <w:rStyle w:val="Funotenzeichen"/>
          <w:rFonts w:ascii="Times New Roman" w:hAnsi="Times New Roman" w:cs="Times New Roman"/>
          <w:color w:val="000000" w:themeColor="text1"/>
          <w:sz w:val="22"/>
          <w:szCs w:val="22"/>
        </w:rPr>
        <w:footnoteReference w:id="16"/>
      </w:r>
      <w:r w:rsidR="00B80088" w:rsidRPr="00B82D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FCB2987" w14:textId="77777777" w:rsidR="00FA3789" w:rsidRPr="00B82DB3" w:rsidRDefault="00FA3789" w:rsidP="00FA3789">
      <w:pPr>
        <w:pStyle w:val="Listenabsatz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A3789" w:rsidRPr="00B82DB3" w:rsidSect="009E66B5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D6483" w14:textId="77777777" w:rsidR="0011299A" w:rsidRDefault="0011299A" w:rsidP="00F0041F">
      <w:r>
        <w:separator/>
      </w:r>
    </w:p>
  </w:endnote>
  <w:endnote w:type="continuationSeparator" w:id="0">
    <w:p w14:paraId="5AE314CE" w14:textId="77777777" w:rsidR="0011299A" w:rsidRDefault="0011299A" w:rsidP="00F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1C4F" w14:textId="77777777" w:rsidR="00C47E01" w:rsidRDefault="00C47E01" w:rsidP="00F004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0E32E4" w14:textId="77777777" w:rsidR="00C47E01" w:rsidRDefault="00C47E01" w:rsidP="00F004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FB43" w14:textId="0F7593BC" w:rsidR="00C47E01" w:rsidRPr="00F0041F" w:rsidRDefault="00C47E01" w:rsidP="00F0041F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</w:rPr>
    </w:pPr>
    <w:r w:rsidRPr="00F0041F">
      <w:rPr>
        <w:rStyle w:val="Seitenzahl"/>
        <w:rFonts w:ascii="Times New Roman" w:hAnsi="Times New Roman" w:cs="Times New Roman"/>
      </w:rPr>
      <w:fldChar w:fldCharType="begin"/>
    </w:r>
    <w:r w:rsidRPr="00F0041F">
      <w:rPr>
        <w:rStyle w:val="Seitenzahl"/>
        <w:rFonts w:ascii="Times New Roman" w:hAnsi="Times New Roman" w:cs="Times New Roman"/>
      </w:rPr>
      <w:instrText xml:space="preserve">PAGE  </w:instrText>
    </w:r>
    <w:r w:rsidRPr="00F0041F">
      <w:rPr>
        <w:rStyle w:val="Seitenzahl"/>
        <w:rFonts w:ascii="Times New Roman" w:hAnsi="Times New Roman" w:cs="Times New Roman"/>
      </w:rPr>
      <w:fldChar w:fldCharType="separate"/>
    </w:r>
    <w:r w:rsidR="001750C3">
      <w:rPr>
        <w:rStyle w:val="Seitenzahl"/>
        <w:rFonts w:ascii="Times New Roman" w:hAnsi="Times New Roman" w:cs="Times New Roman"/>
        <w:noProof/>
      </w:rPr>
      <w:t>2</w:t>
    </w:r>
    <w:r w:rsidRPr="00F0041F">
      <w:rPr>
        <w:rStyle w:val="Seitenzahl"/>
        <w:rFonts w:ascii="Times New Roman" w:hAnsi="Times New Roman" w:cs="Times New Roman"/>
      </w:rPr>
      <w:fldChar w:fldCharType="end"/>
    </w:r>
  </w:p>
  <w:p w14:paraId="65BA18EC" w14:textId="77777777" w:rsidR="00C47E01" w:rsidRPr="00F0041F" w:rsidRDefault="00C47E01" w:rsidP="00F0041F">
    <w:pPr>
      <w:pStyle w:val="Fuzeile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9927" w14:textId="77777777" w:rsidR="0011299A" w:rsidRDefault="0011299A" w:rsidP="00F0041F">
      <w:r>
        <w:separator/>
      </w:r>
    </w:p>
  </w:footnote>
  <w:footnote w:type="continuationSeparator" w:id="0">
    <w:p w14:paraId="5D968F30" w14:textId="77777777" w:rsidR="0011299A" w:rsidRDefault="0011299A" w:rsidP="00F0041F">
      <w:r>
        <w:continuationSeparator/>
      </w:r>
    </w:p>
  </w:footnote>
  <w:footnote w:id="1">
    <w:p w14:paraId="12343A47" w14:textId="484A24DB" w:rsidR="00C47E01" w:rsidRPr="007A78B7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7A78B7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7A78B7">
        <w:rPr>
          <w:rFonts w:ascii="Times New Roman" w:hAnsi="Times New Roman" w:cs="Times New Roman"/>
          <w:sz w:val="17"/>
          <w:szCs w:val="17"/>
        </w:rPr>
        <w:t xml:space="preserve"> Zu den besonderen forschungsethischen Voraussetzungen einer Begutachtung</w:t>
      </w:r>
      <w:r w:rsidR="00176150" w:rsidRPr="007A78B7">
        <w:rPr>
          <w:rFonts w:ascii="Times New Roman" w:hAnsi="Times New Roman" w:cs="Times New Roman"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sz w:val="17"/>
          <w:szCs w:val="17"/>
        </w:rPr>
        <w:t>qual</w:t>
      </w:r>
      <w:r w:rsidR="00B85105" w:rsidRPr="007A78B7">
        <w:rPr>
          <w:rFonts w:ascii="Times New Roman" w:hAnsi="Times New Roman" w:cs="Times New Roman"/>
          <w:sz w:val="17"/>
          <w:szCs w:val="17"/>
        </w:rPr>
        <w:t>itativ-</w:t>
      </w:r>
      <w:r w:rsidRPr="007A78B7">
        <w:rPr>
          <w:rFonts w:ascii="Times New Roman" w:hAnsi="Times New Roman" w:cs="Times New Roman"/>
          <w:sz w:val="17"/>
          <w:szCs w:val="17"/>
        </w:rPr>
        <w:t>soz</w:t>
      </w:r>
      <w:r w:rsidR="00CF6D07" w:rsidRPr="007A78B7">
        <w:rPr>
          <w:rFonts w:ascii="Times New Roman" w:hAnsi="Times New Roman" w:cs="Times New Roman"/>
          <w:sz w:val="17"/>
          <w:szCs w:val="17"/>
        </w:rPr>
        <w:t>ial</w:t>
      </w:r>
      <w:r w:rsidRPr="007A78B7">
        <w:rPr>
          <w:rFonts w:ascii="Times New Roman" w:hAnsi="Times New Roman" w:cs="Times New Roman"/>
          <w:sz w:val="17"/>
          <w:szCs w:val="17"/>
        </w:rPr>
        <w:t>wiss</w:t>
      </w:r>
      <w:r w:rsidR="00176150" w:rsidRPr="007A78B7">
        <w:rPr>
          <w:rFonts w:ascii="Times New Roman" w:hAnsi="Times New Roman" w:cs="Times New Roman"/>
          <w:sz w:val="17"/>
          <w:szCs w:val="17"/>
        </w:rPr>
        <w:t>enschaftlicher</w:t>
      </w:r>
      <w:r w:rsidR="00B85105" w:rsidRPr="007A78B7">
        <w:rPr>
          <w:rFonts w:ascii="Times New Roman" w:hAnsi="Times New Roman" w:cs="Times New Roman"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sz w:val="17"/>
          <w:szCs w:val="17"/>
        </w:rPr>
        <w:t>Forschungen</w:t>
      </w:r>
      <w:r w:rsidRPr="007A78B7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sz w:val="17"/>
          <w:szCs w:val="17"/>
        </w:rPr>
        <w:t xml:space="preserve">vgl. </w:t>
      </w:r>
      <w:r w:rsidR="007A78B7">
        <w:rPr>
          <w:rFonts w:ascii="Times New Roman" w:hAnsi="Times New Roman" w:cs="Times New Roman"/>
          <w:i/>
          <w:sz w:val="17"/>
          <w:szCs w:val="17"/>
        </w:rPr>
        <w:t>international</w:t>
      </w:r>
      <w:r w:rsidRPr="007A78B7">
        <w:rPr>
          <w:rFonts w:ascii="Times New Roman" w:hAnsi="Times New Roman" w:cs="Times New Roman"/>
          <w:i/>
          <w:sz w:val="17"/>
          <w:szCs w:val="17"/>
        </w:rPr>
        <w:t>:</w:t>
      </w:r>
      <w:r w:rsidRPr="007A78B7">
        <w:rPr>
          <w:rFonts w:ascii="Times New Roman" w:hAnsi="Times New Roman" w:cs="Times New Roman"/>
          <w:sz w:val="17"/>
          <w:szCs w:val="17"/>
        </w:rPr>
        <w:t xml:space="preserve"> SSHRC/Canada 2014</w:t>
      </w:r>
      <w:r w:rsidR="009127D3">
        <w:rPr>
          <w:rFonts w:ascii="Times New Roman" w:hAnsi="Times New Roman" w:cs="Times New Roman"/>
          <w:sz w:val="17"/>
          <w:szCs w:val="17"/>
        </w:rPr>
        <w:t xml:space="preserve"> </w:t>
      </w:r>
      <w:hyperlink r:id="rId1" w:history="1">
        <w:r w:rsidR="009127D3" w:rsidRPr="009127D3">
          <w:rPr>
            <w:rStyle w:val="Hyperlink"/>
            <w:rFonts w:ascii="Times New Roman" w:hAnsi="Times New Roman" w:cs="Times New Roman"/>
            <w:sz w:val="17"/>
            <w:szCs w:val="17"/>
          </w:rPr>
          <w:t>%20http:/www.pre.ethics.gc.ca/eng/policy-politique/initiatives/tcps2-eptc2/Default/%20%20</w:t>
        </w:r>
      </w:hyperlink>
      <w:r w:rsidR="009127D3">
        <w:rPr>
          <w:rFonts w:ascii="Times New Roman" w:hAnsi="Times New Roman" w:cs="Times New Roman"/>
          <w:sz w:val="17"/>
          <w:szCs w:val="17"/>
        </w:rPr>
        <w:t xml:space="preserve"> </w:t>
      </w:r>
      <w:r w:rsidR="00AD0EC2">
        <w:rPr>
          <w:rFonts w:ascii="Times New Roman" w:hAnsi="Times New Roman" w:cs="Times New Roman"/>
          <w:sz w:val="17"/>
          <w:szCs w:val="17"/>
        </w:rPr>
        <w:t xml:space="preserve">auf </w:t>
      </w:r>
      <w:r w:rsidR="009127D3">
        <w:rPr>
          <w:rFonts w:ascii="Times New Roman" w:hAnsi="Times New Roman" w:cs="Times New Roman"/>
          <w:sz w:val="17"/>
          <w:szCs w:val="17"/>
        </w:rPr>
        <w:t>EU-Ebene:</w:t>
      </w:r>
      <w:hyperlink r:id="rId2" w:history="1">
        <w:r w:rsidRPr="007A78B7">
          <w:rPr>
            <w:rStyle w:val="Hyperlink"/>
            <w:rFonts w:ascii="Times New Roman" w:hAnsi="Times New Roman" w:cs="Times New Roman"/>
            <w:sz w:val="17"/>
            <w:szCs w:val="17"/>
          </w:rPr>
          <w:t>https://ec.europa.eu/research/participants/data/ref/h2020/grants_manual/hi/ethics/h2020_hi_ethics-self-assess_en.pdf</w:t>
        </w:r>
      </w:hyperlink>
      <w:r w:rsidRPr="007A78B7">
        <w:rPr>
          <w:rFonts w:ascii="Times New Roman" w:hAnsi="Times New Roman" w:cs="Times New Roman"/>
          <w:sz w:val="17"/>
          <w:szCs w:val="17"/>
        </w:rPr>
        <w:t xml:space="preserve">); </w:t>
      </w:r>
      <w:r w:rsidRPr="007A78B7">
        <w:rPr>
          <w:rFonts w:ascii="Times New Roman" w:hAnsi="Times New Roman" w:cs="Times New Roman"/>
          <w:i/>
          <w:sz w:val="17"/>
          <w:szCs w:val="17"/>
        </w:rPr>
        <w:t xml:space="preserve">DFG-Ebene: </w:t>
      </w:r>
      <w:r w:rsidRPr="007A78B7">
        <w:rPr>
          <w:rFonts w:ascii="Times New Roman" w:hAnsi="Times New Roman" w:cs="Times New Roman"/>
          <w:sz w:val="17"/>
          <w:szCs w:val="17"/>
        </w:rPr>
        <w:t xml:space="preserve">RatSWD 2016, </w:t>
      </w:r>
      <w:hyperlink r:id="rId3" w:history="1">
        <w:r w:rsidRPr="007A78B7">
          <w:rPr>
            <w:rStyle w:val="Hyperlink"/>
            <w:rFonts w:ascii="Times New Roman" w:hAnsi="Times New Roman" w:cs="Times New Roman"/>
            <w:sz w:val="17"/>
            <w:szCs w:val="17"/>
          </w:rPr>
          <w:t>https://www.econstor.eu/bitstream/10419/129793/1/852712170.pdf</w:t>
        </w:r>
      </w:hyperlink>
      <w:r w:rsidRPr="007A78B7">
        <w:rPr>
          <w:rFonts w:ascii="Times New Roman" w:hAnsi="Times New Roman" w:cs="Times New Roman"/>
          <w:sz w:val="17"/>
          <w:szCs w:val="17"/>
        </w:rPr>
        <w:t xml:space="preserve">; – </w:t>
      </w:r>
      <w:r w:rsidRPr="007A78B7">
        <w:rPr>
          <w:rFonts w:ascii="Times New Roman" w:hAnsi="Times New Roman" w:cs="Times New Roman"/>
          <w:i/>
          <w:sz w:val="17"/>
          <w:szCs w:val="17"/>
        </w:rPr>
        <w:t>ethnographischer Forschungen</w:t>
      </w:r>
      <w:r w:rsidRPr="007A78B7">
        <w:rPr>
          <w:rFonts w:ascii="Times New Roman" w:hAnsi="Times New Roman" w:cs="Times New Roman"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i/>
          <w:sz w:val="17"/>
          <w:szCs w:val="17"/>
        </w:rPr>
        <w:t>(Deutschland)</w:t>
      </w:r>
      <w:r w:rsidRPr="007A78B7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sz w:val="17"/>
          <w:szCs w:val="17"/>
        </w:rPr>
        <w:t xml:space="preserve">vgl. Unger/Dilger/Schönhuth 2017: </w:t>
      </w:r>
      <w:hyperlink r:id="rId4" w:history="1">
        <w:r w:rsidRPr="007A78B7">
          <w:rPr>
            <w:rStyle w:val="Hyperlink"/>
            <w:rFonts w:ascii="Times New Roman" w:hAnsi="Times New Roman" w:cs="Times New Roman"/>
            <w:sz w:val="17"/>
            <w:szCs w:val="17"/>
          </w:rPr>
          <w:t>http://www.qualitative-research.net/index.php/fqs/article/view/2719</w:t>
        </w:r>
      </w:hyperlink>
      <w:r w:rsidRPr="007A78B7">
        <w:rPr>
          <w:rFonts w:ascii="Times New Roman" w:hAnsi="Times New Roman" w:cs="Times New Roman"/>
          <w:sz w:val="17"/>
          <w:szCs w:val="17"/>
        </w:rPr>
        <w:t xml:space="preserve">); – </w:t>
      </w:r>
      <w:r w:rsidRPr="007A78B7">
        <w:rPr>
          <w:rFonts w:ascii="Times New Roman" w:hAnsi="Times New Roman" w:cs="Times New Roman"/>
          <w:i/>
          <w:sz w:val="17"/>
          <w:szCs w:val="17"/>
        </w:rPr>
        <w:t>ethnologischer Forschungen</w:t>
      </w:r>
      <w:r w:rsidRPr="007A78B7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i/>
          <w:sz w:val="17"/>
          <w:szCs w:val="17"/>
        </w:rPr>
        <w:t xml:space="preserve">(EU-Ebene) </w:t>
      </w:r>
      <w:r w:rsidRPr="007A78B7">
        <w:rPr>
          <w:rFonts w:ascii="Times New Roman" w:hAnsi="Times New Roman" w:cs="Times New Roman"/>
          <w:sz w:val="17"/>
          <w:szCs w:val="17"/>
        </w:rPr>
        <w:t>vgl.</w:t>
      </w:r>
      <w:r w:rsidR="007A78B7" w:rsidRPr="007A78B7">
        <w:rPr>
          <w:rFonts w:ascii="Times New Roman" w:hAnsi="Times New Roman" w:cs="Times New Roman"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sz w:val="17"/>
          <w:szCs w:val="17"/>
        </w:rPr>
        <w:t xml:space="preserve">Iphofen 2015; </w:t>
      </w:r>
      <w:hyperlink r:id="rId5" w:history="1">
        <w:r w:rsidRPr="007A78B7">
          <w:rPr>
            <w:rStyle w:val="Hyperlink"/>
            <w:rFonts w:ascii="Times New Roman" w:hAnsi="Times New Roman" w:cs="Times New Roman"/>
            <w:sz w:val="17"/>
            <w:szCs w:val="17"/>
          </w:rPr>
          <w:t>https://ec.europa.eu/research/participants/data/ref/h2020/other/hi/ethics-guide-ethnog-anthrop_en.pdf</w:t>
        </w:r>
      </w:hyperlink>
      <w:r w:rsidR="009A43FF">
        <w:rPr>
          <w:rFonts w:ascii="Times New Roman" w:hAnsi="Times New Roman" w:cs="Times New Roman"/>
          <w:sz w:val="17"/>
          <w:szCs w:val="17"/>
        </w:rPr>
        <w:t>).</w:t>
      </w:r>
    </w:p>
  </w:footnote>
  <w:footnote w:id="2">
    <w:p w14:paraId="71117A1C" w14:textId="51DF617E" w:rsidR="00C47E01" w:rsidRPr="003366DB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7A78B7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7A78B7">
        <w:rPr>
          <w:rFonts w:ascii="Times New Roman" w:hAnsi="Times New Roman" w:cs="Times New Roman"/>
          <w:sz w:val="17"/>
          <w:szCs w:val="17"/>
        </w:rPr>
        <w:t xml:space="preserve"> Kohl, Karlheinz (2012): </w:t>
      </w:r>
      <w:r w:rsidRPr="007A78B7">
        <w:rPr>
          <w:rFonts w:ascii="Times New Roman" w:hAnsi="Times New Roman" w:cs="Times New Roman"/>
          <w:i/>
          <w:sz w:val="17"/>
          <w:szCs w:val="17"/>
        </w:rPr>
        <w:t>Ethnologie - die Wissenschaft vom kulturell Fremden</w:t>
      </w:r>
      <w:r w:rsidRPr="007A78B7">
        <w:rPr>
          <w:rFonts w:ascii="Times New Roman" w:hAnsi="Times New Roman" w:cs="Times New Roman"/>
          <w:sz w:val="17"/>
          <w:szCs w:val="17"/>
        </w:rPr>
        <w:t xml:space="preserve">. </w:t>
      </w:r>
      <w:r w:rsidRPr="007A78B7">
        <w:rPr>
          <w:rFonts w:ascii="Times New Roman" w:hAnsi="Times New Roman" w:cs="Times New Roman"/>
          <w:sz w:val="17"/>
          <w:szCs w:val="17"/>
          <w:lang w:val="en-US"/>
        </w:rPr>
        <w:t xml:space="preserve">München: Beck; Eriksen, Thomas Hylland (2015): </w:t>
      </w:r>
      <w:r w:rsidRPr="007A78B7">
        <w:rPr>
          <w:rFonts w:ascii="Times New Roman" w:hAnsi="Times New Roman" w:cs="Times New Roman"/>
          <w:i/>
          <w:sz w:val="17"/>
          <w:szCs w:val="17"/>
          <w:lang w:val="en-US"/>
        </w:rPr>
        <w:t>Small Places, Large Issues: An Introduction to Social and Cultural Anthropology</w:t>
      </w:r>
      <w:r w:rsidRPr="007A78B7">
        <w:rPr>
          <w:rFonts w:ascii="Times New Roman" w:hAnsi="Times New Roman" w:cs="Times New Roman"/>
          <w:sz w:val="17"/>
          <w:szCs w:val="17"/>
          <w:lang w:val="en-US"/>
        </w:rPr>
        <w:t xml:space="preserve">. </w:t>
      </w:r>
      <w:r w:rsidRPr="003366DB">
        <w:rPr>
          <w:rFonts w:ascii="Times New Roman" w:hAnsi="Times New Roman" w:cs="Times New Roman"/>
          <w:sz w:val="17"/>
          <w:szCs w:val="17"/>
        </w:rPr>
        <w:t>London: Pluto Press</w:t>
      </w:r>
      <w:r w:rsidR="000A4D83" w:rsidRPr="003366DB">
        <w:rPr>
          <w:rFonts w:ascii="Times New Roman" w:hAnsi="Times New Roman" w:cs="Times New Roman"/>
          <w:sz w:val="17"/>
          <w:szCs w:val="17"/>
        </w:rPr>
        <w:t>.</w:t>
      </w:r>
    </w:p>
  </w:footnote>
  <w:footnote w:id="3">
    <w:p w14:paraId="09056D81" w14:textId="72C51220" w:rsidR="002E07B9" w:rsidRPr="003366DB" w:rsidRDefault="002E07B9">
      <w:pPr>
        <w:pStyle w:val="Funotentext"/>
        <w:rPr>
          <w:rStyle w:val="Hyperlink"/>
          <w:rFonts w:ascii="Times New Roman" w:hAnsi="Times New Roman" w:cs="Times New Roman"/>
          <w:sz w:val="17"/>
          <w:szCs w:val="17"/>
        </w:rPr>
      </w:pPr>
      <w:r>
        <w:rPr>
          <w:rStyle w:val="Funotenzeichen"/>
        </w:rPr>
        <w:footnoteRef/>
      </w:r>
      <w:r w:rsidRPr="00D05386">
        <w:t xml:space="preserve"> </w:t>
      </w:r>
      <w:r w:rsidRPr="003366DB">
        <w:rPr>
          <w:rFonts w:ascii="Times New Roman" w:hAnsi="Times New Roman" w:cs="Times New Roman"/>
          <w:sz w:val="17"/>
          <w:szCs w:val="17"/>
        </w:rPr>
        <w:t xml:space="preserve">Zur Problematik des Datenbegriffs, wie der Gefahr einer </w:t>
      </w:r>
      <w:r w:rsidR="00BD33A8" w:rsidRPr="00D05386">
        <w:rPr>
          <w:rFonts w:ascii="Times New Roman" w:hAnsi="Times New Roman" w:cs="Times New Roman"/>
          <w:sz w:val="17"/>
          <w:szCs w:val="17"/>
        </w:rPr>
        <w:t>instituti</w:t>
      </w:r>
      <w:r w:rsidR="00BD33A8">
        <w:rPr>
          <w:rFonts w:ascii="Times New Roman" w:hAnsi="Times New Roman" w:cs="Times New Roman"/>
          <w:sz w:val="17"/>
          <w:szCs w:val="17"/>
        </w:rPr>
        <w:t>ona</w:t>
      </w:r>
      <w:r w:rsidR="00BD33A8" w:rsidRPr="00D05386">
        <w:rPr>
          <w:rFonts w:ascii="Times New Roman" w:hAnsi="Times New Roman" w:cs="Times New Roman"/>
          <w:sz w:val="17"/>
          <w:szCs w:val="17"/>
        </w:rPr>
        <w:t>lisierten</w:t>
      </w:r>
      <w:r w:rsidRPr="003366DB">
        <w:rPr>
          <w:rFonts w:ascii="Times New Roman" w:hAnsi="Times New Roman" w:cs="Times New Roman"/>
          <w:sz w:val="17"/>
          <w:szCs w:val="17"/>
        </w:rPr>
        <w:t xml:space="preserve"> </w:t>
      </w:r>
      <w:r w:rsidR="00BD33A8">
        <w:rPr>
          <w:rFonts w:ascii="Times New Roman" w:hAnsi="Times New Roman" w:cs="Times New Roman"/>
          <w:sz w:val="17"/>
          <w:szCs w:val="17"/>
        </w:rPr>
        <w:t>‚</w:t>
      </w:r>
      <w:r w:rsidRPr="003366DB">
        <w:rPr>
          <w:rFonts w:ascii="Times New Roman" w:hAnsi="Times New Roman" w:cs="Times New Roman"/>
          <w:sz w:val="17"/>
          <w:szCs w:val="17"/>
        </w:rPr>
        <w:t>Data-Gove</w:t>
      </w:r>
      <w:r w:rsidR="00BD33A8">
        <w:rPr>
          <w:rFonts w:ascii="Times New Roman" w:hAnsi="Times New Roman" w:cs="Times New Roman"/>
          <w:sz w:val="17"/>
          <w:szCs w:val="17"/>
        </w:rPr>
        <w:t>r</w:t>
      </w:r>
      <w:r w:rsidRPr="003366DB">
        <w:rPr>
          <w:rFonts w:ascii="Times New Roman" w:hAnsi="Times New Roman" w:cs="Times New Roman"/>
          <w:sz w:val="17"/>
          <w:szCs w:val="17"/>
        </w:rPr>
        <w:t>nance</w:t>
      </w:r>
      <w:r w:rsidR="00BD33A8">
        <w:rPr>
          <w:rFonts w:ascii="Times New Roman" w:hAnsi="Times New Roman" w:cs="Times New Roman"/>
          <w:sz w:val="17"/>
          <w:szCs w:val="17"/>
        </w:rPr>
        <w:t>‘</w:t>
      </w:r>
      <w:r w:rsidRPr="003366DB">
        <w:rPr>
          <w:rFonts w:ascii="Times New Roman" w:hAnsi="Times New Roman" w:cs="Times New Roman"/>
          <w:sz w:val="17"/>
          <w:szCs w:val="17"/>
        </w:rPr>
        <w:t xml:space="preserve"> in der Ethnographie vgl.</w:t>
      </w:r>
      <w:r>
        <w:rPr>
          <w:rFonts w:ascii="Times New Roman" w:hAnsi="Times New Roman" w:cs="Times New Roman"/>
          <w:sz w:val="17"/>
          <w:szCs w:val="17"/>
        </w:rPr>
        <w:t xml:space="preserve"> EASA 2018</w:t>
      </w:r>
      <w:r w:rsidRPr="003366DB">
        <w:rPr>
          <w:rStyle w:val="Hyperlink"/>
          <w:rFonts w:ascii="Times New Roman" w:hAnsi="Times New Roman" w:cs="Times New Roman"/>
          <w:sz w:val="17"/>
          <w:szCs w:val="17"/>
        </w:rPr>
        <w:t>.</w:t>
      </w:r>
      <w:r w:rsidR="00BD33A8">
        <w:rPr>
          <w:rStyle w:val="Hyperlink"/>
          <w:rFonts w:ascii="Times New Roman" w:hAnsi="Times New Roman" w:cs="Times New Roman"/>
          <w:sz w:val="17"/>
          <w:szCs w:val="17"/>
        </w:rPr>
        <w:t xml:space="preserve"> </w:t>
      </w:r>
      <w:r w:rsidR="00BD33A8" w:rsidRPr="00BD33A8">
        <w:rPr>
          <w:rStyle w:val="Hyperlink"/>
          <w:rFonts w:ascii="Times New Roman" w:hAnsi="Times New Roman" w:cs="Times New Roman"/>
          <w:sz w:val="17"/>
          <w:szCs w:val="17"/>
        </w:rPr>
        <w:t>https://www.easaonline.org/downloads/support/EASA%20statement%20on%20data%20governance.pdf</w:t>
      </w:r>
    </w:p>
  </w:footnote>
  <w:footnote w:id="4">
    <w:p w14:paraId="78BD7CDF" w14:textId="0090F9A3" w:rsidR="00DD3265" w:rsidRPr="007A78B7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7A78B7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3366DB">
        <w:rPr>
          <w:rFonts w:ascii="Times New Roman" w:hAnsi="Times New Roman" w:cs="Times New Roman"/>
          <w:sz w:val="17"/>
          <w:szCs w:val="17"/>
        </w:rPr>
        <w:t xml:space="preserve"> </w:t>
      </w:r>
      <w:r w:rsidR="00E35099">
        <w:rPr>
          <w:rFonts w:ascii="Times New Roman" w:hAnsi="Times New Roman" w:cs="Times New Roman"/>
          <w:sz w:val="17"/>
          <w:szCs w:val="17"/>
        </w:rPr>
        <w:t>z</w:t>
      </w:r>
      <w:r w:rsidRPr="003366DB">
        <w:rPr>
          <w:rFonts w:ascii="Times New Roman" w:hAnsi="Times New Roman" w:cs="Times New Roman"/>
          <w:sz w:val="17"/>
          <w:szCs w:val="17"/>
        </w:rPr>
        <w:t xml:space="preserve">u </w:t>
      </w:r>
      <w:r w:rsidRPr="003366DB">
        <w:rPr>
          <w:rFonts w:ascii="Times New Roman" w:hAnsi="Times New Roman" w:cs="Times New Roman"/>
          <w:i/>
          <w:sz w:val="17"/>
          <w:szCs w:val="17"/>
        </w:rPr>
        <w:t>„Informed Consent”</w:t>
      </w:r>
      <w:r w:rsidRPr="003366DB">
        <w:rPr>
          <w:rFonts w:ascii="Times New Roman" w:hAnsi="Times New Roman" w:cs="Times New Roman"/>
          <w:sz w:val="17"/>
          <w:szCs w:val="17"/>
        </w:rPr>
        <w:t xml:space="preserve"> in ethnologischen Forschungen allgemein: </w:t>
      </w:r>
      <w:hyperlink r:id="rId6" w:history="1">
        <w:r w:rsidRPr="003366DB">
          <w:rPr>
            <w:rStyle w:val="Hyperlink"/>
            <w:rFonts w:ascii="Times New Roman" w:hAnsi="Times New Roman" w:cs="Times New Roman"/>
            <w:sz w:val="17"/>
            <w:szCs w:val="17"/>
          </w:rPr>
          <w:t>http://ethics.americananthro.org/ethics-statement-3-obtain-informed-consent-and-necessary-permissions/</w:t>
        </w:r>
      </w:hyperlink>
      <w:r w:rsidRPr="003366DB">
        <w:rPr>
          <w:rFonts w:ascii="Times New Roman" w:hAnsi="Times New Roman" w:cs="Times New Roman"/>
          <w:sz w:val="17"/>
          <w:szCs w:val="17"/>
        </w:rPr>
        <w:t xml:space="preserve">; zur Debatte über </w:t>
      </w:r>
      <w:r w:rsidR="000A4D83" w:rsidRPr="003366DB">
        <w:rPr>
          <w:rFonts w:ascii="Times New Roman" w:hAnsi="Times New Roman" w:cs="Times New Roman"/>
          <w:sz w:val="17"/>
          <w:szCs w:val="17"/>
        </w:rPr>
        <w:t>“</w:t>
      </w:r>
      <w:r w:rsidRPr="003366DB">
        <w:rPr>
          <w:rFonts w:ascii="Times New Roman" w:hAnsi="Times New Roman" w:cs="Times New Roman"/>
          <w:i/>
          <w:sz w:val="17"/>
          <w:szCs w:val="17"/>
        </w:rPr>
        <w:t>Informed Consent Without Forms</w:t>
      </w:r>
      <w:r w:rsidR="000A4D83" w:rsidRPr="003366DB">
        <w:rPr>
          <w:rFonts w:ascii="Times New Roman" w:hAnsi="Times New Roman" w:cs="Times New Roman"/>
          <w:i/>
          <w:sz w:val="17"/>
          <w:szCs w:val="17"/>
        </w:rPr>
        <w:t>”</w:t>
      </w:r>
      <w:r w:rsidR="009A43FF" w:rsidRPr="003366DB">
        <w:rPr>
          <w:rFonts w:ascii="Times New Roman" w:hAnsi="Times New Roman" w:cs="Times New Roman"/>
          <w:sz w:val="17"/>
          <w:szCs w:val="17"/>
        </w:rPr>
        <w:t xml:space="preserve">: </w:t>
      </w:r>
      <w:r w:rsidRPr="003366DB">
        <w:rPr>
          <w:rFonts w:ascii="Times New Roman" w:hAnsi="Times New Roman" w:cs="Times New Roman"/>
          <w:sz w:val="17"/>
          <w:szCs w:val="17"/>
        </w:rPr>
        <w:t>C. Fluehr-Lobban (</w:t>
      </w:r>
      <w:r w:rsidRPr="003366DB">
        <w:rPr>
          <w:rFonts w:ascii="Times New Roman" w:hAnsi="Times New Roman" w:cs="Times New Roman"/>
          <w:i/>
          <w:iCs/>
          <w:sz w:val="17"/>
          <w:szCs w:val="17"/>
        </w:rPr>
        <w:t>1994</w:t>
      </w:r>
      <w:r w:rsidRPr="003366DB">
        <w:rPr>
          <w:rFonts w:ascii="Times New Roman" w:hAnsi="Times New Roman" w:cs="Times New Roman"/>
          <w:sz w:val="17"/>
          <w:szCs w:val="17"/>
        </w:rPr>
        <w:t xml:space="preserve">): Informed Consent in Anthropological Research: We Are Not Exempt. </w:t>
      </w:r>
      <w:r w:rsidRPr="007A78B7">
        <w:rPr>
          <w:rFonts w:ascii="Times New Roman" w:hAnsi="Times New Roman" w:cs="Times New Roman"/>
          <w:sz w:val="17"/>
          <w:szCs w:val="17"/>
        </w:rPr>
        <w:t>Human Organization</w:t>
      </w:r>
      <w:r w:rsidR="000A4D83" w:rsidRPr="007A78B7">
        <w:rPr>
          <w:rFonts w:ascii="Times New Roman" w:hAnsi="Times New Roman" w:cs="Times New Roman"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sz w:val="17"/>
          <w:szCs w:val="17"/>
        </w:rPr>
        <w:t>53</w:t>
      </w:r>
      <w:r w:rsidR="000A4D83" w:rsidRPr="007A78B7">
        <w:rPr>
          <w:rFonts w:ascii="Times New Roman" w:hAnsi="Times New Roman" w:cs="Times New Roman"/>
          <w:sz w:val="17"/>
          <w:szCs w:val="17"/>
        </w:rPr>
        <w:t xml:space="preserve"> (</w:t>
      </w:r>
      <w:r w:rsidRPr="007A78B7">
        <w:rPr>
          <w:rFonts w:ascii="Times New Roman" w:hAnsi="Times New Roman" w:cs="Times New Roman"/>
          <w:sz w:val="17"/>
          <w:szCs w:val="17"/>
        </w:rPr>
        <w:t>1</w:t>
      </w:r>
      <w:r w:rsidR="000A4D83" w:rsidRPr="007A78B7">
        <w:rPr>
          <w:rFonts w:ascii="Times New Roman" w:hAnsi="Times New Roman" w:cs="Times New Roman"/>
          <w:sz w:val="17"/>
          <w:szCs w:val="17"/>
        </w:rPr>
        <w:t>):</w:t>
      </w:r>
      <w:r w:rsidRPr="007A78B7">
        <w:rPr>
          <w:rFonts w:ascii="Times New Roman" w:hAnsi="Times New Roman" w:cs="Times New Roman"/>
          <w:sz w:val="17"/>
          <w:szCs w:val="17"/>
        </w:rPr>
        <w:t xml:space="preserve"> 1</w:t>
      </w:r>
      <w:r w:rsidRPr="000406F0">
        <w:rPr>
          <w:rFonts w:ascii="Times New Roman" w:hAnsi="Times New Roman" w:cs="Times New Roman"/>
          <w:sz w:val="17"/>
          <w:szCs w:val="17"/>
        </w:rPr>
        <w:t>-10.</w:t>
      </w:r>
      <w:r w:rsidR="00DD3265" w:rsidRPr="000406F0">
        <w:rPr>
          <w:rFonts w:ascii="Times New Roman" w:hAnsi="Times New Roman" w:cs="Times New Roman"/>
          <w:sz w:val="17"/>
          <w:szCs w:val="17"/>
        </w:rPr>
        <w:t xml:space="preserve"> Für ein Beispiel einer ‚Oral Consent Card‘: </w:t>
      </w:r>
      <w:hyperlink r:id="rId7" w:history="1">
        <w:r w:rsidR="00DD3265" w:rsidRPr="000406F0">
          <w:rPr>
            <w:rStyle w:val="Hyperlink"/>
            <w:rFonts w:ascii="Times New Roman" w:hAnsi="Times New Roman" w:cs="Times New Roman"/>
            <w:sz w:val="17"/>
            <w:szCs w:val="17"/>
          </w:rPr>
          <w:t>https://research.virginia.edu/sites/vpr/files/SBS%20Consent/IRB-SBS%20Oral%20Consent%20Card.docx</w:t>
        </w:r>
      </w:hyperlink>
      <w:r w:rsidR="00DD3265">
        <w:rPr>
          <w:rFonts w:ascii="Times New Roman" w:hAnsi="Times New Roman" w:cs="Times New Roman"/>
          <w:sz w:val="17"/>
          <w:szCs w:val="17"/>
        </w:rPr>
        <w:t>.</w:t>
      </w:r>
    </w:p>
  </w:footnote>
  <w:footnote w:id="5">
    <w:p w14:paraId="45709571" w14:textId="25F2A2D0" w:rsidR="00C47E01" w:rsidRPr="007A78B7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7A78B7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7A78B7">
        <w:rPr>
          <w:rFonts w:ascii="Times New Roman" w:hAnsi="Times New Roman" w:cs="Times New Roman"/>
          <w:sz w:val="17"/>
          <w:szCs w:val="17"/>
        </w:rPr>
        <w:t xml:space="preserve"> Zu </w:t>
      </w:r>
      <w:r w:rsidRPr="007A78B7">
        <w:rPr>
          <w:rFonts w:ascii="Times New Roman" w:hAnsi="Times New Roman" w:cs="Times New Roman"/>
          <w:i/>
          <w:sz w:val="17"/>
          <w:szCs w:val="17"/>
        </w:rPr>
        <w:t>Do-No-Harm</w:t>
      </w:r>
      <w:r w:rsidRPr="007A78B7">
        <w:rPr>
          <w:rFonts w:ascii="Times New Roman" w:hAnsi="Times New Roman" w:cs="Times New Roman"/>
          <w:sz w:val="17"/>
          <w:szCs w:val="17"/>
        </w:rPr>
        <w:t>-Bedingungen in ethnolog</w:t>
      </w:r>
      <w:r w:rsidR="00002C22">
        <w:rPr>
          <w:rFonts w:ascii="Times New Roman" w:hAnsi="Times New Roman" w:cs="Times New Roman"/>
          <w:sz w:val="17"/>
          <w:szCs w:val="17"/>
        </w:rPr>
        <w:t>ischen</w:t>
      </w:r>
      <w:r w:rsidRPr="007A78B7">
        <w:rPr>
          <w:rFonts w:ascii="Times New Roman" w:hAnsi="Times New Roman" w:cs="Times New Roman"/>
          <w:sz w:val="17"/>
          <w:szCs w:val="17"/>
        </w:rPr>
        <w:t xml:space="preserve"> Forschungen</w:t>
      </w:r>
      <w:r w:rsidR="00002C22">
        <w:rPr>
          <w:rFonts w:ascii="Times New Roman" w:hAnsi="Times New Roman" w:cs="Times New Roman"/>
          <w:sz w:val="17"/>
          <w:szCs w:val="17"/>
        </w:rPr>
        <w:t>:</w:t>
      </w:r>
      <w:r w:rsidRPr="007A78B7">
        <w:rPr>
          <w:rFonts w:ascii="Times New Roman" w:hAnsi="Times New Roman" w:cs="Times New Roman"/>
          <w:sz w:val="17"/>
          <w:szCs w:val="17"/>
        </w:rPr>
        <w:t xml:space="preserve">. </w:t>
      </w:r>
      <w:hyperlink r:id="rId8" w:history="1">
        <w:r w:rsidRPr="007A78B7">
          <w:rPr>
            <w:rStyle w:val="Hyperlink"/>
            <w:rFonts w:ascii="Times New Roman" w:hAnsi="Times New Roman" w:cs="Times New Roman"/>
            <w:sz w:val="17"/>
            <w:szCs w:val="17"/>
          </w:rPr>
          <w:t>http://ethics.americananthro.org/ethics-statement-1-do-no-harm/</w:t>
        </w:r>
      </w:hyperlink>
      <w:r w:rsidRPr="007A78B7">
        <w:rPr>
          <w:rFonts w:ascii="Times New Roman" w:hAnsi="Times New Roman" w:cs="Times New Roman"/>
          <w:sz w:val="17"/>
          <w:szCs w:val="17"/>
        </w:rPr>
        <w:t>.</w:t>
      </w:r>
    </w:p>
  </w:footnote>
  <w:footnote w:id="6">
    <w:p w14:paraId="2A413412" w14:textId="06F4673F" w:rsidR="00C47E01" w:rsidRPr="007A78B7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7A78B7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7A78B7">
        <w:rPr>
          <w:rFonts w:ascii="Times New Roman" w:hAnsi="Times New Roman" w:cs="Times New Roman"/>
          <w:color w:val="00B050"/>
          <w:sz w:val="17"/>
          <w:szCs w:val="17"/>
        </w:rPr>
        <w:t xml:space="preserve"> </w:t>
      </w:r>
      <w:r w:rsidRPr="007A78B7">
        <w:rPr>
          <w:rFonts w:ascii="Times New Roman" w:hAnsi="Times New Roman" w:cs="Times New Roman"/>
          <w:sz w:val="17"/>
          <w:szCs w:val="17"/>
        </w:rPr>
        <w:t xml:space="preserve">Zur Problematik der Anonymisierung von Forschungspartnern: </w:t>
      </w:r>
      <w:hyperlink r:id="rId9" w:history="1">
        <w:r w:rsidRPr="007A78B7">
          <w:rPr>
            <w:rStyle w:val="Hyperlink"/>
            <w:rFonts w:ascii="Times New Roman" w:hAnsi="Times New Roman" w:cs="Times New Roman"/>
            <w:sz w:val="17"/>
            <w:szCs w:val="17"/>
          </w:rPr>
          <w:t>http://ethics.americananthro.org/ethics-statement-3-obtain-informed-consent-and-necessary-permissions/</w:t>
        </w:r>
      </w:hyperlink>
      <w:r w:rsidRPr="007A78B7">
        <w:rPr>
          <w:rFonts w:ascii="Times New Roman" w:hAnsi="Times New Roman" w:cs="Times New Roman"/>
          <w:sz w:val="17"/>
          <w:szCs w:val="17"/>
        </w:rPr>
        <w:t>: Sue-Ellen Jacobs, “Case 6: Anonymity Revisited”.</w:t>
      </w:r>
    </w:p>
  </w:footnote>
  <w:footnote w:id="7">
    <w:p w14:paraId="1940EF42" w14:textId="523A5E53" w:rsidR="00C47E01" w:rsidRPr="007A78B7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7A78B7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7A78B7">
        <w:rPr>
          <w:rFonts w:ascii="Times New Roman" w:hAnsi="Times New Roman" w:cs="Times New Roman"/>
          <w:sz w:val="17"/>
          <w:szCs w:val="17"/>
        </w:rPr>
        <w:t xml:space="preserve"> Zu </w:t>
      </w:r>
      <w:r w:rsidRPr="007A78B7">
        <w:rPr>
          <w:rFonts w:ascii="Times New Roman" w:hAnsi="Times New Roman" w:cs="Times New Roman"/>
          <w:i/>
          <w:sz w:val="17"/>
          <w:szCs w:val="17"/>
        </w:rPr>
        <w:t>“Competing Ethical Obligations“</w:t>
      </w:r>
      <w:r w:rsidR="009A43FF">
        <w:rPr>
          <w:rFonts w:ascii="Times New Roman" w:hAnsi="Times New Roman" w:cs="Times New Roman"/>
          <w:sz w:val="17"/>
          <w:szCs w:val="17"/>
        </w:rPr>
        <w:t xml:space="preserve"> in Feldforschungssituationen </w:t>
      </w:r>
      <w:r w:rsidRPr="007A78B7">
        <w:rPr>
          <w:rFonts w:ascii="Times New Roman" w:hAnsi="Times New Roman" w:cs="Times New Roman"/>
          <w:sz w:val="17"/>
          <w:szCs w:val="17"/>
        </w:rPr>
        <w:t xml:space="preserve">vgl. </w:t>
      </w:r>
      <w:hyperlink r:id="rId10" w:history="1">
        <w:r w:rsidRPr="007A78B7">
          <w:rPr>
            <w:rStyle w:val="Hyperlink"/>
            <w:rFonts w:ascii="Times New Roman" w:hAnsi="Times New Roman" w:cs="Times New Roman"/>
            <w:sz w:val="17"/>
            <w:szCs w:val="17"/>
          </w:rPr>
          <w:t>http://ethics.americananthro.org/ethics-statement-4-weigh-competing-ethical-obligations-due-collaborators-and-affected-parties/</w:t>
        </w:r>
      </w:hyperlink>
    </w:p>
  </w:footnote>
  <w:footnote w:id="8">
    <w:p w14:paraId="0C125925" w14:textId="7ABB6E9B" w:rsidR="00B80088" w:rsidRPr="000406F0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7A78B7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7A78B7">
        <w:rPr>
          <w:rFonts w:ascii="Times New Roman" w:hAnsi="Times New Roman" w:cs="Times New Roman"/>
          <w:sz w:val="17"/>
          <w:szCs w:val="17"/>
          <w:lang w:val="en-US"/>
        </w:rPr>
        <w:t xml:space="preserve"> Zu ethischen Implikationen eines</w:t>
      </w:r>
      <w:r w:rsidRPr="007A78B7">
        <w:rPr>
          <w:rFonts w:ascii="Times New Roman" w:hAnsi="Times New Roman" w:cs="Times New Roman"/>
          <w:i/>
          <w:sz w:val="17"/>
          <w:szCs w:val="17"/>
          <w:lang w:val="en-US"/>
        </w:rPr>
        <w:t xml:space="preserve"> “Shared Cultural Ownership“</w:t>
      </w:r>
      <w:r w:rsidR="00002C22">
        <w:rPr>
          <w:rFonts w:ascii="Times New Roman" w:hAnsi="Times New Roman" w:cs="Times New Roman"/>
          <w:i/>
          <w:sz w:val="17"/>
          <w:szCs w:val="17"/>
          <w:lang w:val="en-US"/>
        </w:rPr>
        <w:t>:</w:t>
      </w:r>
      <w:r w:rsidRPr="007A78B7">
        <w:rPr>
          <w:rFonts w:ascii="Times New Roman" w:hAnsi="Times New Roman" w:cs="Times New Roman"/>
          <w:sz w:val="17"/>
          <w:szCs w:val="17"/>
          <w:lang w:val="en-US"/>
        </w:rPr>
        <w:t xml:space="preserve"> La Folette, L</w:t>
      </w:r>
      <w:r w:rsidR="00002C22">
        <w:rPr>
          <w:rFonts w:ascii="Times New Roman" w:hAnsi="Times New Roman" w:cs="Times New Roman"/>
          <w:sz w:val="17"/>
          <w:szCs w:val="17"/>
          <w:lang w:val="en-US"/>
        </w:rPr>
        <w:t>.</w:t>
      </w:r>
      <w:r w:rsidRPr="007A78B7">
        <w:rPr>
          <w:rFonts w:ascii="Times New Roman" w:hAnsi="Times New Roman" w:cs="Times New Roman"/>
          <w:sz w:val="17"/>
          <w:szCs w:val="17"/>
          <w:lang w:val="en-US"/>
        </w:rPr>
        <w:t>(ed.) 2014: Negotiating Culture. Heritage, Ownership, and Intellectual Property. Boston</w:t>
      </w:r>
      <w:r w:rsidR="00002C22">
        <w:rPr>
          <w:rFonts w:ascii="Times New Roman" w:hAnsi="Times New Roman" w:cs="Times New Roman"/>
          <w:sz w:val="17"/>
          <w:szCs w:val="17"/>
          <w:lang w:val="en-US"/>
        </w:rPr>
        <w:t xml:space="preserve">; </w:t>
      </w:r>
      <w:r w:rsidR="00530C27" w:rsidRPr="000406F0">
        <w:rPr>
          <w:rFonts w:ascii="Times New Roman" w:hAnsi="Times New Roman" w:cs="Times New Roman"/>
          <w:sz w:val="17"/>
          <w:szCs w:val="17"/>
          <w:lang w:val="en-US"/>
        </w:rPr>
        <w:t xml:space="preserve">und </w:t>
      </w:r>
      <w:r w:rsidR="00BD33A8" w:rsidRPr="000406F0">
        <w:rPr>
          <w:rFonts w:ascii="Times New Roman" w:hAnsi="Times New Roman" w:cs="Times New Roman"/>
          <w:sz w:val="17"/>
          <w:szCs w:val="17"/>
          <w:lang w:val="en-US"/>
        </w:rPr>
        <w:t xml:space="preserve">EASA 2018: </w:t>
      </w:r>
      <w:hyperlink r:id="rId11" w:history="1">
        <w:r w:rsidR="00BD33A8" w:rsidRPr="000406F0">
          <w:rPr>
            <w:rStyle w:val="Hyperlink"/>
            <w:rFonts w:ascii="Times New Roman" w:hAnsi="Times New Roman" w:cs="Times New Roman"/>
            <w:sz w:val="17"/>
            <w:szCs w:val="17"/>
            <w:lang w:val="en-US"/>
          </w:rPr>
          <w:t>https://www.easaonline.org/downloads/support/EASA%20statement%20on%20data%20governance.pdf</w:t>
        </w:r>
      </w:hyperlink>
      <w:r w:rsidR="00BD33A8" w:rsidRPr="000406F0">
        <w:rPr>
          <w:rFonts w:ascii="Times New Roman" w:hAnsi="Times New Roman" w:cs="Times New Roman"/>
          <w:sz w:val="17"/>
          <w:szCs w:val="17"/>
          <w:lang w:val="en-US"/>
        </w:rPr>
        <w:t>.</w:t>
      </w:r>
      <w:r w:rsidR="00B80088" w:rsidRPr="000406F0">
        <w:rPr>
          <w:rFonts w:ascii="Times New Roman" w:hAnsi="Times New Roman" w:cs="Times New Roman"/>
          <w:sz w:val="17"/>
          <w:szCs w:val="17"/>
          <w:lang w:val="en-US"/>
        </w:rPr>
        <w:t xml:space="preserve"> Zu</w:t>
      </w:r>
      <w:r w:rsidR="00C240E1" w:rsidRPr="000406F0">
        <w:rPr>
          <w:rFonts w:ascii="Times New Roman" w:hAnsi="Times New Roman" w:cs="Times New Roman"/>
          <w:sz w:val="17"/>
          <w:szCs w:val="17"/>
          <w:lang w:val="en-US"/>
        </w:rPr>
        <w:t xml:space="preserve"> „Good Practice Guidelines bzgl. ‘</w:t>
      </w:r>
      <w:r w:rsidR="00B80088" w:rsidRPr="000406F0">
        <w:rPr>
          <w:rFonts w:ascii="Times New Roman" w:hAnsi="Times New Roman" w:cs="Times New Roman"/>
          <w:sz w:val="17"/>
          <w:szCs w:val="17"/>
          <w:lang w:val="en-US"/>
        </w:rPr>
        <w:t>Data’ Ownership, Authorship and Power</w:t>
      </w:r>
      <w:r w:rsidR="00C240E1" w:rsidRPr="000406F0">
        <w:rPr>
          <w:rFonts w:ascii="Times New Roman" w:hAnsi="Times New Roman" w:cs="Times New Roman"/>
          <w:sz w:val="17"/>
          <w:szCs w:val="17"/>
          <w:lang w:val="en-US"/>
        </w:rPr>
        <w:t>’</w:t>
      </w:r>
      <w:r w:rsidR="00E740DB" w:rsidRPr="000406F0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r w:rsidR="00DD3265" w:rsidRPr="000406F0">
        <w:rPr>
          <w:rFonts w:ascii="Times New Roman" w:hAnsi="Times New Roman" w:cs="Times New Roman"/>
          <w:sz w:val="17"/>
          <w:szCs w:val="17"/>
          <w:lang w:val="en-US"/>
        </w:rPr>
        <w:t>bei großen, drittmittel</w:t>
      </w:r>
      <w:r w:rsidR="00530C27" w:rsidRPr="000406F0">
        <w:rPr>
          <w:rFonts w:ascii="Times New Roman" w:hAnsi="Times New Roman" w:cs="Times New Roman"/>
          <w:sz w:val="17"/>
          <w:szCs w:val="17"/>
          <w:lang w:val="en-US"/>
        </w:rPr>
        <w:t>-</w:t>
      </w:r>
      <w:r w:rsidR="00DD3265" w:rsidRPr="000406F0">
        <w:rPr>
          <w:rFonts w:ascii="Times New Roman" w:hAnsi="Times New Roman" w:cs="Times New Roman"/>
          <w:sz w:val="17"/>
          <w:szCs w:val="17"/>
          <w:lang w:val="en-US"/>
        </w:rPr>
        <w:t>finanzierten Projekten</w:t>
      </w:r>
      <w:r w:rsidR="00E740DB" w:rsidRPr="000406F0">
        <w:rPr>
          <w:rFonts w:ascii="Times New Roman" w:hAnsi="Times New Roman" w:cs="Times New Roman"/>
          <w:sz w:val="17"/>
          <w:szCs w:val="17"/>
          <w:lang w:val="en-US"/>
        </w:rPr>
        <w:t>: Tilche/Atuti (</w:t>
      </w:r>
      <w:r w:rsidR="00B80088" w:rsidRPr="000406F0">
        <w:rPr>
          <w:rFonts w:ascii="Times New Roman" w:hAnsi="Times New Roman" w:cs="Times New Roman"/>
          <w:sz w:val="17"/>
          <w:szCs w:val="17"/>
          <w:lang w:val="en-US"/>
        </w:rPr>
        <w:t>EASA</w:t>
      </w:r>
      <w:r w:rsidR="00E740DB" w:rsidRPr="000406F0">
        <w:rPr>
          <w:rFonts w:ascii="Times New Roman" w:hAnsi="Times New Roman" w:cs="Times New Roman"/>
          <w:sz w:val="17"/>
          <w:szCs w:val="17"/>
          <w:lang w:val="en-US"/>
        </w:rPr>
        <w:t>)</w:t>
      </w:r>
      <w:r w:rsidR="00B80088" w:rsidRPr="000406F0">
        <w:rPr>
          <w:rFonts w:ascii="Times New Roman" w:hAnsi="Times New Roman" w:cs="Times New Roman"/>
          <w:sz w:val="17"/>
          <w:szCs w:val="17"/>
          <w:lang w:val="en-US"/>
        </w:rPr>
        <w:t xml:space="preserve"> 2020: </w:t>
      </w:r>
      <w:hyperlink r:id="rId12" w:history="1">
        <w:r w:rsidR="00B80088" w:rsidRPr="000406F0">
          <w:rPr>
            <w:rStyle w:val="Hyperlink"/>
            <w:rFonts w:ascii="Times New Roman" w:hAnsi="Times New Roman" w:cs="Times New Roman"/>
            <w:sz w:val="17"/>
            <w:szCs w:val="17"/>
            <w:lang w:val="en-US"/>
          </w:rPr>
          <w:t>https://easaonline.org/newsletter/75-0120/guidelines</w:t>
        </w:r>
      </w:hyperlink>
      <w:r w:rsidR="00B80088" w:rsidRPr="000406F0">
        <w:rPr>
          <w:rFonts w:ascii="Times New Roman" w:hAnsi="Times New Roman" w:cs="Times New Roman"/>
          <w:sz w:val="17"/>
          <w:szCs w:val="17"/>
          <w:lang w:val="en-US"/>
        </w:rPr>
        <w:t>.</w:t>
      </w:r>
    </w:p>
  </w:footnote>
  <w:footnote w:id="9">
    <w:p w14:paraId="7E2D1E4B" w14:textId="61F69C36" w:rsidR="002E07B9" w:rsidRPr="000406F0" w:rsidRDefault="002E07B9" w:rsidP="002E07B9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0406F0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0406F0">
        <w:rPr>
          <w:rFonts w:ascii="Times New Roman" w:hAnsi="Times New Roman" w:cs="Times New Roman"/>
          <w:sz w:val="17"/>
          <w:szCs w:val="17"/>
        </w:rPr>
        <w:t xml:space="preserve"> </w:t>
      </w:r>
      <w:r w:rsidR="00116629" w:rsidRPr="000406F0">
        <w:rPr>
          <w:rFonts w:ascii="Times New Roman" w:hAnsi="Times New Roman" w:cs="Times New Roman"/>
          <w:sz w:val="17"/>
          <w:szCs w:val="17"/>
        </w:rPr>
        <w:t>Z</w:t>
      </w:r>
      <w:r w:rsidRPr="000406F0">
        <w:rPr>
          <w:rFonts w:ascii="Times New Roman" w:hAnsi="Times New Roman" w:cs="Times New Roman"/>
          <w:sz w:val="17"/>
          <w:szCs w:val="17"/>
        </w:rPr>
        <w:t>u</w:t>
      </w:r>
      <w:r w:rsidR="00116629" w:rsidRPr="000406F0">
        <w:rPr>
          <w:rFonts w:ascii="Times New Roman" w:hAnsi="Times New Roman" w:cs="Times New Roman"/>
          <w:sz w:val="17"/>
          <w:szCs w:val="17"/>
        </w:rPr>
        <w:t>r</w:t>
      </w:r>
      <w:r w:rsidRPr="000406F0">
        <w:rPr>
          <w:rFonts w:ascii="Times New Roman" w:hAnsi="Times New Roman" w:cs="Times New Roman"/>
          <w:sz w:val="17"/>
          <w:szCs w:val="17"/>
        </w:rPr>
        <w:t xml:space="preserve"> </w:t>
      </w:r>
      <w:r w:rsidR="00116629" w:rsidRPr="000406F0">
        <w:rPr>
          <w:rFonts w:ascii="Times New Roman" w:hAnsi="Times New Roman" w:cs="Times New Roman"/>
          <w:sz w:val="17"/>
          <w:szCs w:val="17"/>
        </w:rPr>
        <w:t>V</w:t>
      </w:r>
      <w:r w:rsidRPr="000406F0">
        <w:rPr>
          <w:rFonts w:ascii="Times New Roman" w:hAnsi="Times New Roman" w:cs="Times New Roman"/>
          <w:sz w:val="17"/>
          <w:szCs w:val="17"/>
        </w:rPr>
        <w:t xml:space="preserve">erbreitung von Forschungsergebnissen: </w:t>
      </w:r>
      <w:hyperlink r:id="rId13" w:history="1">
        <w:r w:rsidRPr="000406F0">
          <w:rPr>
            <w:rStyle w:val="Hyperlink"/>
            <w:rFonts w:ascii="Times New Roman" w:hAnsi="Times New Roman" w:cs="Times New Roman"/>
            <w:sz w:val="17"/>
            <w:szCs w:val="17"/>
          </w:rPr>
          <w:t>http://ethics.americananthro.org/ethics-statement-5-make-your-results-accessible/</w:t>
        </w:r>
      </w:hyperlink>
      <w:r w:rsidRPr="000406F0">
        <w:rPr>
          <w:rFonts w:ascii="Times New Roman" w:hAnsi="Times New Roman" w:cs="Times New Roman"/>
          <w:sz w:val="17"/>
          <w:szCs w:val="17"/>
        </w:rPr>
        <w:t xml:space="preserve">. </w:t>
      </w:r>
    </w:p>
  </w:footnote>
  <w:footnote w:id="10">
    <w:p w14:paraId="66E2065A" w14:textId="4BC081EA" w:rsidR="00485982" w:rsidRPr="000406F0" w:rsidRDefault="00485982">
      <w:pPr>
        <w:pStyle w:val="Funotentext"/>
        <w:rPr>
          <w:lang w:val="en-GB"/>
        </w:rPr>
      </w:pPr>
      <w:r w:rsidRPr="000406F0">
        <w:rPr>
          <w:rStyle w:val="Funotenzeichen"/>
          <w:sz w:val="18"/>
          <w:szCs w:val="18"/>
        </w:rPr>
        <w:footnoteRef/>
      </w:r>
      <w:r w:rsidRPr="000406F0">
        <w:t xml:space="preserve"> </w:t>
      </w:r>
      <w:r w:rsidRPr="000406F0">
        <w:rPr>
          <w:rFonts w:ascii="Times New Roman" w:hAnsi="Times New Roman" w:cs="Times New Roman"/>
          <w:sz w:val="17"/>
          <w:szCs w:val="17"/>
        </w:rPr>
        <w:t xml:space="preserve">Zur Langzeitdatenarchivierung vgl. Pels et al. </w:t>
      </w:r>
      <w:r w:rsidRPr="000406F0">
        <w:rPr>
          <w:rFonts w:ascii="Times New Roman" w:hAnsi="Times New Roman" w:cs="Times New Roman"/>
          <w:sz w:val="17"/>
          <w:szCs w:val="17"/>
          <w:lang w:val="en-GB"/>
        </w:rPr>
        <w:t>(2018): Data Management in Anthropology: Social Anthropology 26 (3): 391–413.</w:t>
      </w:r>
    </w:p>
  </w:footnote>
  <w:footnote w:id="11">
    <w:p w14:paraId="6B8FE229" w14:textId="3344BAF6" w:rsidR="00C47E01" w:rsidRPr="000406F0" w:rsidRDefault="00C47E01" w:rsidP="007A78B7">
      <w:pPr>
        <w:pStyle w:val="Funotentext"/>
        <w:jc w:val="both"/>
        <w:rPr>
          <w:rFonts w:ascii="Times New Roman" w:hAnsi="Times New Roman" w:cs="Times New Roman"/>
          <w:sz w:val="17"/>
          <w:szCs w:val="17"/>
        </w:rPr>
      </w:pPr>
      <w:r w:rsidRPr="000406F0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0406F0">
        <w:rPr>
          <w:rFonts w:ascii="Times New Roman" w:hAnsi="Times New Roman" w:cs="Times New Roman"/>
          <w:sz w:val="17"/>
          <w:szCs w:val="17"/>
        </w:rPr>
        <w:t xml:space="preserve"> </w:t>
      </w:r>
      <w:r w:rsidR="00116629" w:rsidRPr="000406F0">
        <w:rPr>
          <w:rFonts w:ascii="Times New Roman" w:hAnsi="Times New Roman" w:cs="Times New Roman"/>
          <w:sz w:val="17"/>
          <w:szCs w:val="17"/>
        </w:rPr>
        <w:t>Z</w:t>
      </w:r>
      <w:r w:rsidRPr="000406F0">
        <w:rPr>
          <w:rFonts w:ascii="Times New Roman" w:hAnsi="Times New Roman" w:cs="Times New Roman"/>
          <w:sz w:val="17"/>
          <w:szCs w:val="17"/>
        </w:rPr>
        <w:t xml:space="preserve">um nötigen Schutz von Rohdaten </w:t>
      </w:r>
      <w:hyperlink r:id="rId14" w:history="1">
        <w:r w:rsidRPr="000406F0">
          <w:rPr>
            <w:rStyle w:val="Hyperlink"/>
            <w:rFonts w:ascii="Times New Roman" w:hAnsi="Times New Roman" w:cs="Times New Roman"/>
            <w:sz w:val="17"/>
            <w:szCs w:val="17"/>
          </w:rPr>
          <w:t>http://ethics.americananthro.org/ethics-statement-6-protect-and-preserve-your-records/</w:t>
        </w:r>
      </w:hyperlink>
      <w:r w:rsidRPr="000406F0">
        <w:rPr>
          <w:rFonts w:ascii="Times New Roman" w:hAnsi="Times New Roman" w:cs="Times New Roman"/>
          <w:sz w:val="17"/>
          <w:szCs w:val="17"/>
        </w:rPr>
        <w:t>.</w:t>
      </w:r>
    </w:p>
  </w:footnote>
  <w:footnote w:id="12">
    <w:p w14:paraId="5303AD57" w14:textId="094E9C84" w:rsidR="00116629" w:rsidRPr="000406F0" w:rsidRDefault="00116629">
      <w:pPr>
        <w:pStyle w:val="Funotentext"/>
        <w:rPr>
          <w:lang w:val="en-GB"/>
        </w:rPr>
      </w:pPr>
      <w:r w:rsidRPr="000406F0">
        <w:rPr>
          <w:rStyle w:val="Funotenzeichen"/>
          <w:sz w:val="18"/>
          <w:szCs w:val="18"/>
        </w:rPr>
        <w:footnoteRef/>
      </w:r>
      <w:r w:rsidRPr="000406F0">
        <w:rPr>
          <w:lang w:val="en-GB"/>
        </w:rPr>
        <w:t xml:space="preserve"> </w:t>
      </w:r>
      <w:r w:rsidRPr="000406F0">
        <w:rPr>
          <w:rFonts w:ascii="Times New Roman" w:hAnsi="Times New Roman" w:cs="Times New Roman"/>
          <w:sz w:val="17"/>
          <w:szCs w:val="17"/>
          <w:lang w:val="en-GB"/>
        </w:rPr>
        <w:t>vgl. GAA</w:t>
      </w:r>
      <w:r w:rsidR="005A7BA4" w:rsidRPr="000406F0">
        <w:rPr>
          <w:rFonts w:ascii="Times New Roman" w:hAnsi="Times New Roman" w:cs="Times New Roman"/>
          <w:sz w:val="17"/>
          <w:szCs w:val="17"/>
          <w:lang w:val="en-GB"/>
        </w:rPr>
        <w:t xml:space="preserve"> 2019:</w:t>
      </w:r>
      <w:r w:rsidRPr="000406F0">
        <w:rPr>
          <w:rFonts w:ascii="Times New Roman" w:hAnsi="Times New Roman" w:cs="Times New Roman"/>
          <w:sz w:val="17"/>
          <w:szCs w:val="17"/>
          <w:lang w:val="en-GB"/>
        </w:rPr>
        <w:t xml:space="preserve"> Position Paper on Research Data Management:</w:t>
      </w:r>
      <w:r w:rsidRPr="000406F0">
        <w:rPr>
          <w:lang w:val="en-GB"/>
        </w:rPr>
        <w:t xml:space="preserve"> </w:t>
      </w:r>
      <w:hyperlink r:id="rId15" w:history="1">
        <w:r w:rsidRPr="000406F0">
          <w:rPr>
            <w:rStyle w:val="Hyperlink"/>
            <w:rFonts w:ascii="Times New Roman" w:hAnsi="Times New Roman" w:cs="Times New Roman"/>
            <w:sz w:val="16"/>
            <w:szCs w:val="16"/>
            <w:lang w:val="en-GB"/>
          </w:rPr>
          <w:t>https://en.dgska.de/wp-content/uploads/2019/12/Positionspapier_Bearbeitet-fu%CC%88r-MV_EN_29.11.2019.pdf</w:t>
        </w:r>
      </w:hyperlink>
      <w:r w:rsidRPr="000406F0">
        <w:rPr>
          <w:rFonts w:ascii="Times New Roman" w:hAnsi="Times New Roman" w:cs="Times New Roman"/>
          <w:sz w:val="16"/>
          <w:szCs w:val="16"/>
          <w:lang w:val="en-GB"/>
        </w:rPr>
        <w:t>.</w:t>
      </w:r>
    </w:p>
  </w:footnote>
  <w:footnote w:id="13">
    <w:p w14:paraId="74B3143B" w14:textId="59E30510" w:rsidR="002B7F0F" w:rsidRDefault="002B7F0F" w:rsidP="002B7F0F">
      <w:pPr>
        <w:pStyle w:val="Funotentext"/>
      </w:pPr>
      <w:r w:rsidRPr="000406F0">
        <w:rPr>
          <w:rFonts w:ascii="Times New Roman" w:hAnsi="Times New Roman" w:cs="Times New Roman"/>
          <w:sz w:val="17"/>
          <w:szCs w:val="17"/>
          <w:vertAlign w:val="superscript"/>
        </w:rPr>
        <w:footnoteRef/>
      </w:r>
      <w:r w:rsidRPr="000406F0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0406F0">
        <w:rPr>
          <w:rFonts w:ascii="Times New Roman" w:hAnsi="Times New Roman" w:cs="Times New Roman"/>
          <w:sz w:val="17"/>
          <w:szCs w:val="17"/>
        </w:rPr>
        <w:t>für vergleichbare Leitlinien auf europäischer Ebene</w:t>
      </w:r>
      <w:r w:rsidR="00492815" w:rsidRPr="000406F0">
        <w:rPr>
          <w:rFonts w:ascii="Times New Roman" w:hAnsi="Times New Roman" w:cs="Times New Roman"/>
          <w:sz w:val="17"/>
          <w:szCs w:val="17"/>
        </w:rPr>
        <w:t xml:space="preserve"> vgl.</w:t>
      </w:r>
      <w:r w:rsidRPr="000406F0">
        <w:rPr>
          <w:rFonts w:ascii="Times New Roman" w:hAnsi="Times New Roman" w:cs="Times New Roman"/>
          <w:sz w:val="17"/>
          <w:szCs w:val="17"/>
        </w:rPr>
        <w:t>: Koning et al. 2019:</w:t>
      </w:r>
      <w:r w:rsidRPr="000406F0">
        <w:rPr>
          <w:rFonts w:ascii="Times New Roman" w:hAnsi="Times New Roman" w:cs="Times New Roman"/>
          <w:color w:val="00B050"/>
          <w:sz w:val="17"/>
          <w:szCs w:val="17"/>
        </w:rPr>
        <w:t xml:space="preserve"> </w:t>
      </w:r>
      <w:hyperlink r:id="rId16" w:history="1">
        <w:r w:rsidRPr="000406F0">
          <w:rPr>
            <w:rStyle w:val="Hyperlink"/>
            <w:rFonts w:ascii="Times New Roman" w:hAnsi="Times New Roman" w:cs="Times New Roman"/>
            <w:sz w:val="17"/>
            <w:szCs w:val="17"/>
          </w:rPr>
          <w:t>https://journals.sagepub.com/doi/pdf/10.1177/1466138119843312</w:t>
        </w:r>
      </w:hyperlink>
      <w:r w:rsidRPr="000406F0">
        <w:rPr>
          <w:rFonts w:ascii="Times New Roman" w:hAnsi="Times New Roman" w:cs="Times New Roman"/>
          <w:sz w:val="17"/>
          <w:szCs w:val="17"/>
        </w:rPr>
        <w:t>; für ein ethnologisches Ethiknetzwerk</w:t>
      </w:r>
      <w:r w:rsidR="00002C22" w:rsidRPr="000406F0">
        <w:rPr>
          <w:rFonts w:ascii="Times New Roman" w:hAnsi="Times New Roman" w:cs="Times New Roman"/>
          <w:sz w:val="17"/>
          <w:szCs w:val="17"/>
        </w:rPr>
        <w:t xml:space="preserve"> auf europäischer Ebene</w:t>
      </w:r>
      <w:r w:rsidRPr="000406F0">
        <w:rPr>
          <w:rFonts w:ascii="Times New Roman" w:hAnsi="Times New Roman" w:cs="Times New Roman"/>
          <w:sz w:val="17"/>
          <w:szCs w:val="17"/>
        </w:rPr>
        <w:t xml:space="preserve">: European Association of Social Anthropologists (EASA) </w:t>
      </w:r>
      <w:hyperlink r:id="rId17" w:history="1">
        <w:r w:rsidRPr="000406F0">
          <w:rPr>
            <w:rStyle w:val="Hyperlink"/>
            <w:rFonts w:ascii="Times New Roman" w:hAnsi="Times New Roman" w:cs="Times New Roman"/>
            <w:sz w:val="17"/>
            <w:szCs w:val="17"/>
          </w:rPr>
          <w:t>https://easaonline.org/networks/ethics/</w:t>
        </w:r>
      </w:hyperlink>
      <w:r w:rsidRPr="000406F0">
        <w:rPr>
          <w:rFonts w:ascii="Times New Roman" w:hAnsi="Times New Roman" w:cs="Times New Roman"/>
          <w:sz w:val="17"/>
          <w:szCs w:val="17"/>
        </w:rPr>
        <w:t>.</w:t>
      </w:r>
    </w:p>
  </w:footnote>
  <w:footnote w:id="14">
    <w:p w14:paraId="775B8BA1" w14:textId="384A8043" w:rsidR="00907534" w:rsidRPr="00907534" w:rsidRDefault="00907534">
      <w:pPr>
        <w:pStyle w:val="Funotentext"/>
        <w:rPr>
          <w:rFonts w:ascii="Times New Roman" w:hAnsi="Times New Roman" w:cs="Times New Roman"/>
          <w:sz w:val="17"/>
          <w:szCs w:val="17"/>
        </w:rPr>
      </w:pPr>
      <w:r w:rsidRPr="00907534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907534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DGSKA: </w:t>
      </w:r>
      <w:hyperlink r:id="rId18" w:history="1">
        <w:r w:rsidRPr="00564D72">
          <w:rPr>
            <w:rStyle w:val="Hyperlink"/>
            <w:rFonts w:ascii="Times New Roman" w:hAnsi="Times New Roman" w:cs="Times New Roman"/>
            <w:sz w:val="17"/>
            <w:szCs w:val="17"/>
          </w:rPr>
          <w:t>https://www.dgska.de/dgska/ethik/</w:t>
        </w:r>
      </w:hyperlink>
      <w:r>
        <w:rPr>
          <w:rFonts w:ascii="Times New Roman" w:hAnsi="Times New Roman" w:cs="Times New Roman"/>
          <w:sz w:val="17"/>
          <w:szCs w:val="17"/>
        </w:rPr>
        <w:t>.</w:t>
      </w:r>
    </w:p>
  </w:footnote>
  <w:footnote w:id="15">
    <w:p w14:paraId="5BA81410" w14:textId="3887F525" w:rsidR="00907534" w:rsidRPr="00907534" w:rsidRDefault="00907534">
      <w:pPr>
        <w:pStyle w:val="Funotentext"/>
        <w:rPr>
          <w:rFonts w:ascii="Times New Roman" w:hAnsi="Times New Roman" w:cs="Times New Roman"/>
          <w:sz w:val="17"/>
          <w:szCs w:val="17"/>
          <w:lang w:val="en-GB"/>
        </w:rPr>
      </w:pPr>
      <w:r w:rsidRPr="00907534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907534">
        <w:rPr>
          <w:rFonts w:ascii="Times New Roman" w:hAnsi="Times New Roman" w:cs="Times New Roman"/>
          <w:sz w:val="17"/>
          <w:szCs w:val="17"/>
          <w:lang w:val="en-GB"/>
        </w:rPr>
        <w:t xml:space="preserve"> z.B. Ethical Prac</w:t>
      </w:r>
      <w:r>
        <w:rPr>
          <w:rFonts w:ascii="Times New Roman" w:hAnsi="Times New Roman" w:cs="Times New Roman"/>
          <w:sz w:val="17"/>
          <w:szCs w:val="17"/>
          <w:lang w:val="en-GB"/>
        </w:rPr>
        <w:t>t</w:t>
      </w:r>
      <w:r w:rsidRPr="00907534">
        <w:rPr>
          <w:rFonts w:ascii="Times New Roman" w:hAnsi="Times New Roman" w:cs="Times New Roman"/>
          <w:sz w:val="17"/>
          <w:szCs w:val="17"/>
          <w:lang w:val="en-GB"/>
        </w:rPr>
        <w:t xml:space="preserve">ices in Fieldwork: </w:t>
      </w:r>
      <w:hyperlink r:id="rId19" w:history="1">
        <w:r w:rsidRPr="00907534">
          <w:rPr>
            <w:rStyle w:val="Hyperlink"/>
            <w:rFonts w:ascii="Times New Roman" w:hAnsi="Times New Roman" w:cs="Times New Roman"/>
            <w:sz w:val="17"/>
            <w:szCs w:val="17"/>
            <w:lang w:val="en-GB"/>
          </w:rPr>
          <w:t>https://www.elon.edu/u/academics/</w:t>
        </w:r>
        <w:r w:rsidRPr="00907534">
          <w:rPr>
            <w:rStyle w:val="Hyperlink"/>
            <w:rFonts w:ascii="Times New Roman" w:hAnsi="Times New Roman" w:cs="Times New Roman"/>
            <w:sz w:val="17"/>
            <w:szCs w:val="17"/>
            <w:lang w:val="en-GB"/>
          </w:rPr>
          <w:t>p</w:t>
        </w:r>
        <w:r w:rsidRPr="00907534">
          <w:rPr>
            <w:rStyle w:val="Hyperlink"/>
            <w:rFonts w:ascii="Times New Roman" w:hAnsi="Times New Roman" w:cs="Times New Roman"/>
            <w:sz w:val="17"/>
            <w:szCs w:val="17"/>
            <w:lang w:val="en-GB"/>
          </w:rPr>
          <w:t>ercs/resources/ethics/</w:t>
        </w:r>
      </w:hyperlink>
    </w:p>
  </w:footnote>
  <w:footnote w:id="16">
    <w:p w14:paraId="5EE5F42B" w14:textId="369AD0E2" w:rsidR="0050562D" w:rsidRPr="00907534" w:rsidRDefault="0050562D">
      <w:pPr>
        <w:pStyle w:val="Funotentext"/>
        <w:rPr>
          <w:rFonts w:ascii="Times New Roman" w:hAnsi="Times New Roman" w:cs="Times New Roman"/>
          <w:sz w:val="17"/>
          <w:szCs w:val="17"/>
          <w:lang w:val="en-GB"/>
        </w:rPr>
      </w:pPr>
      <w:r w:rsidRPr="00907534">
        <w:rPr>
          <w:rStyle w:val="Funotenzeichen"/>
          <w:rFonts w:ascii="Times New Roman" w:hAnsi="Times New Roman" w:cs="Times New Roman"/>
          <w:sz w:val="17"/>
          <w:szCs w:val="17"/>
        </w:rPr>
        <w:footnoteRef/>
      </w:r>
      <w:r w:rsidRPr="00907534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Pr="00907534">
        <w:rPr>
          <w:rFonts w:ascii="Times New Roman" w:hAnsi="Times New Roman" w:cs="Times New Roman"/>
          <w:color w:val="000000" w:themeColor="text1"/>
          <w:sz w:val="17"/>
          <w:szCs w:val="17"/>
          <w:lang w:val="en-GB"/>
        </w:rPr>
        <w:t>z.B.</w:t>
      </w:r>
      <w:r w:rsidR="00907534" w:rsidRPr="00907534">
        <w:rPr>
          <w:rFonts w:ascii="Times New Roman" w:hAnsi="Times New Roman" w:cs="Times New Roman"/>
          <w:color w:val="000000" w:themeColor="text1"/>
          <w:sz w:val="17"/>
          <w:szCs w:val="17"/>
          <w:lang w:val="en-GB"/>
        </w:rPr>
        <w:t xml:space="preserve"> Ethics in Ethnographic Fieldwork: A tutorial.</w:t>
      </w:r>
      <w:r w:rsidRPr="00907534">
        <w:rPr>
          <w:rFonts w:ascii="Times New Roman" w:hAnsi="Times New Roman" w:cs="Times New Roman"/>
          <w:color w:val="000000" w:themeColor="text1"/>
          <w:sz w:val="17"/>
          <w:szCs w:val="17"/>
          <w:lang w:val="en-GB"/>
        </w:rPr>
        <w:t xml:space="preserve"> </w:t>
      </w:r>
      <w:hyperlink r:id="rId20" w:history="1">
        <w:r w:rsidRPr="00907534">
          <w:rPr>
            <w:rStyle w:val="Hyperlink"/>
            <w:rFonts w:ascii="Times New Roman" w:hAnsi="Times New Roman" w:cs="Times New Roman"/>
            <w:sz w:val="17"/>
            <w:szCs w:val="17"/>
            <w:lang w:val="en-GB"/>
          </w:rPr>
          <w:t>https://field</w:t>
        </w:r>
        <w:r w:rsidRPr="00907534">
          <w:rPr>
            <w:rStyle w:val="Hyperlink"/>
            <w:rFonts w:ascii="Times New Roman" w:hAnsi="Times New Roman" w:cs="Times New Roman"/>
            <w:sz w:val="17"/>
            <w:szCs w:val="17"/>
            <w:lang w:val="en-GB"/>
          </w:rPr>
          <w:t>w</w:t>
        </w:r>
        <w:r w:rsidRPr="00907534">
          <w:rPr>
            <w:rStyle w:val="Hyperlink"/>
            <w:rFonts w:ascii="Times New Roman" w:hAnsi="Times New Roman" w:cs="Times New Roman"/>
            <w:sz w:val="17"/>
            <w:szCs w:val="17"/>
            <w:lang w:val="en-GB"/>
          </w:rPr>
          <w:t>orkethics.de/</w:t>
        </w:r>
      </w:hyperlink>
      <w:r w:rsidRPr="00907534">
        <w:rPr>
          <w:rFonts w:ascii="Times New Roman" w:hAnsi="Times New Roman" w:cs="Times New Roman"/>
          <w:color w:val="000000" w:themeColor="text1"/>
          <w:sz w:val="17"/>
          <w:szCs w:val="17"/>
          <w:lang w:val="en-GB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B8B"/>
    <w:multiLevelType w:val="hybridMultilevel"/>
    <w:tmpl w:val="0340FB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331"/>
    <w:multiLevelType w:val="hybridMultilevel"/>
    <w:tmpl w:val="E102AE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371"/>
    <w:multiLevelType w:val="hybridMultilevel"/>
    <w:tmpl w:val="314EC2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7964"/>
    <w:multiLevelType w:val="hybridMultilevel"/>
    <w:tmpl w:val="80F82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617"/>
    <w:multiLevelType w:val="hybridMultilevel"/>
    <w:tmpl w:val="A4E43B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78CB"/>
    <w:multiLevelType w:val="hybridMultilevel"/>
    <w:tmpl w:val="B41AB9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6B90"/>
    <w:multiLevelType w:val="hybridMultilevel"/>
    <w:tmpl w:val="A81CB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0165C"/>
    <w:multiLevelType w:val="hybridMultilevel"/>
    <w:tmpl w:val="96B4229A"/>
    <w:lvl w:ilvl="0" w:tplc="BC3CDE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46084"/>
    <w:multiLevelType w:val="hybridMultilevel"/>
    <w:tmpl w:val="E8B271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769AF"/>
    <w:multiLevelType w:val="hybridMultilevel"/>
    <w:tmpl w:val="74EAA4A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89"/>
    <w:rsid w:val="000003E5"/>
    <w:rsid w:val="00002C22"/>
    <w:rsid w:val="000056FA"/>
    <w:rsid w:val="00010D37"/>
    <w:rsid w:val="00011864"/>
    <w:rsid w:val="00012D9F"/>
    <w:rsid w:val="00014F22"/>
    <w:rsid w:val="00015090"/>
    <w:rsid w:val="000169A3"/>
    <w:rsid w:val="00016A73"/>
    <w:rsid w:val="00017B8A"/>
    <w:rsid w:val="0002414A"/>
    <w:rsid w:val="0002619A"/>
    <w:rsid w:val="000406F0"/>
    <w:rsid w:val="00043267"/>
    <w:rsid w:val="00052921"/>
    <w:rsid w:val="00052CE3"/>
    <w:rsid w:val="000553EB"/>
    <w:rsid w:val="000614E1"/>
    <w:rsid w:val="00063C1B"/>
    <w:rsid w:val="00073091"/>
    <w:rsid w:val="000812D7"/>
    <w:rsid w:val="00081627"/>
    <w:rsid w:val="000846A2"/>
    <w:rsid w:val="00086BA4"/>
    <w:rsid w:val="00097074"/>
    <w:rsid w:val="0009764C"/>
    <w:rsid w:val="000A14E3"/>
    <w:rsid w:val="000A376E"/>
    <w:rsid w:val="000A4D83"/>
    <w:rsid w:val="000A7220"/>
    <w:rsid w:val="000C3F3F"/>
    <w:rsid w:val="000D2AB4"/>
    <w:rsid w:val="000D3BD0"/>
    <w:rsid w:val="000D55DE"/>
    <w:rsid w:val="000E5357"/>
    <w:rsid w:val="00100F6E"/>
    <w:rsid w:val="0010649A"/>
    <w:rsid w:val="0011299A"/>
    <w:rsid w:val="00112DAF"/>
    <w:rsid w:val="00116629"/>
    <w:rsid w:val="00121367"/>
    <w:rsid w:val="00123DA5"/>
    <w:rsid w:val="001250BD"/>
    <w:rsid w:val="00125606"/>
    <w:rsid w:val="00127BFD"/>
    <w:rsid w:val="001322F5"/>
    <w:rsid w:val="001325F7"/>
    <w:rsid w:val="00135A35"/>
    <w:rsid w:val="001470FB"/>
    <w:rsid w:val="00147370"/>
    <w:rsid w:val="00154652"/>
    <w:rsid w:val="001548B1"/>
    <w:rsid w:val="001548EA"/>
    <w:rsid w:val="00163617"/>
    <w:rsid w:val="0016372A"/>
    <w:rsid w:val="001649FC"/>
    <w:rsid w:val="00166655"/>
    <w:rsid w:val="00170077"/>
    <w:rsid w:val="001750C3"/>
    <w:rsid w:val="0017549B"/>
    <w:rsid w:val="00175CB1"/>
    <w:rsid w:val="00176150"/>
    <w:rsid w:val="00191930"/>
    <w:rsid w:val="001921E6"/>
    <w:rsid w:val="001947BB"/>
    <w:rsid w:val="00196B44"/>
    <w:rsid w:val="001A3526"/>
    <w:rsid w:val="001A4B25"/>
    <w:rsid w:val="001A5146"/>
    <w:rsid w:val="001A53E1"/>
    <w:rsid w:val="001A5402"/>
    <w:rsid w:val="001B1833"/>
    <w:rsid w:val="001C0267"/>
    <w:rsid w:val="001D00DD"/>
    <w:rsid w:val="001D1DA0"/>
    <w:rsid w:val="001D4BD1"/>
    <w:rsid w:val="001D660E"/>
    <w:rsid w:val="001D709F"/>
    <w:rsid w:val="001D76AA"/>
    <w:rsid w:val="001E25E6"/>
    <w:rsid w:val="001E2A1B"/>
    <w:rsid w:val="001E36EB"/>
    <w:rsid w:val="001F431D"/>
    <w:rsid w:val="002125D0"/>
    <w:rsid w:val="002151CB"/>
    <w:rsid w:val="002159E1"/>
    <w:rsid w:val="0021741F"/>
    <w:rsid w:val="00217C59"/>
    <w:rsid w:val="002225F8"/>
    <w:rsid w:val="002237C3"/>
    <w:rsid w:val="00226DE2"/>
    <w:rsid w:val="00227450"/>
    <w:rsid w:val="00234B4C"/>
    <w:rsid w:val="00237808"/>
    <w:rsid w:val="00245D1B"/>
    <w:rsid w:val="0025203B"/>
    <w:rsid w:val="002535D7"/>
    <w:rsid w:val="00254834"/>
    <w:rsid w:val="002572DE"/>
    <w:rsid w:val="00260820"/>
    <w:rsid w:val="002659F3"/>
    <w:rsid w:val="00270017"/>
    <w:rsid w:val="00270D1D"/>
    <w:rsid w:val="00271D14"/>
    <w:rsid w:val="00274FC8"/>
    <w:rsid w:val="00276540"/>
    <w:rsid w:val="0028114B"/>
    <w:rsid w:val="0028257E"/>
    <w:rsid w:val="002934BB"/>
    <w:rsid w:val="00296DD9"/>
    <w:rsid w:val="002A17E3"/>
    <w:rsid w:val="002A1E22"/>
    <w:rsid w:val="002A4878"/>
    <w:rsid w:val="002A4C5B"/>
    <w:rsid w:val="002A7F32"/>
    <w:rsid w:val="002B06DD"/>
    <w:rsid w:val="002B1C2C"/>
    <w:rsid w:val="002B2210"/>
    <w:rsid w:val="002B24C0"/>
    <w:rsid w:val="002B443B"/>
    <w:rsid w:val="002B7F0F"/>
    <w:rsid w:val="002C02EC"/>
    <w:rsid w:val="002C07C1"/>
    <w:rsid w:val="002C4AFD"/>
    <w:rsid w:val="002C7C84"/>
    <w:rsid w:val="002D172B"/>
    <w:rsid w:val="002D3711"/>
    <w:rsid w:val="002D3F03"/>
    <w:rsid w:val="002D748D"/>
    <w:rsid w:val="002E07B9"/>
    <w:rsid w:val="002E4C28"/>
    <w:rsid w:val="002E52FB"/>
    <w:rsid w:val="002F12C4"/>
    <w:rsid w:val="002F72F9"/>
    <w:rsid w:val="002F73C8"/>
    <w:rsid w:val="00303D9F"/>
    <w:rsid w:val="00315FD9"/>
    <w:rsid w:val="0032234C"/>
    <w:rsid w:val="00324ABD"/>
    <w:rsid w:val="003268B7"/>
    <w:rsid w:val="003366DB"/>
    <w:rsid w:val="003371ED"/>
    <w:rsid w:val="00337E05"/>
    <w:rsid w:val="00340039"/>
    <w:rsid w:val="00341257"/>
    <w:rsid w:val="00350F9C"/>
    <w:rsid w:val="00351EA8"/>
    <w:rsid w:val="003561E7"/>
    <w:rsid w:val="0036095C"/>
    <w:rsid w:val="0036213F"/>
    <w:rsid w:val="00363C8D"/>
    <w:rsid w:val="00392F50"/>
    <w:rsid w:val="00395BB4"/>
    <w:rsid w:val="003977C2"/>
    <w:rsid w:val="003C0BE6"/>
    <w:rsid w:val="003C1ED9"/>
    <w:rsid w:val="003D007E"/>
    <w:rsid w:val="003E55B4"/>
    <w:rsid w:val="003F271D"/>
    <w:rsid w:val="00404E16"/>
    <w:rsid w:val="00417901"/>
    <w:rsid w:val="00424FDD"/>
    <w:rsid w:val="0043421C"/>
    <w:rsid w:val="00445B06"/>
    <w:rsid w:val="00445C85"/>
    <w:rsid w:val="00446CD8"/>
    <w:rsid w:val="0045055A"/>
    <w:rsid w:val="0045258B"/>
    <w:rsid w:val="00452E4B"/>
    <w:rsid w:val="004556AD"/>
    <w:rsid w:val="00464043"/>
    <w:rsid w:val="004669FD"/>
    <w:rsid w:val="0047457A"/>
    <w:rsid w:val="00477261"/>
    <w:rsid w:val="004852F6"/>
    <w:rsid w:val="00485982"/>
    <w:rsid w:val="0049128C"/>
    <w:rsid w:val="00492815"/>
    <w:rsid w:val="00496E36"/>
    <w:rsid w:val="004A1161"/>
    <w:rsid w:val="004A2CD9"/>
    <w:rsid w:val="004A54D2"/>
    <w:rsid w:val="004B1F0F"/>
    <w:rsid w:val="004B6996"/>
    <w:rsid w:val="004C0C9C"/>
    <w:rsid w:val="004C10AA"/>
    <w:rsid w:val="004C1FF5"/>
    <w:rsid w:val="004C3937"/>
    <w:rsid w:val="004C48A4"/>
    <w:rsid w:val="004C4919"/>
    <w:rsid w:val="004C730A"/>
    <w:rsid w:val="004D3095"/>
    <w:rsid w:val="004D5E33"/>
    <w:rsid w:val="004D7968"/>
    <w:rsid w:val="004E3C7D"/>
    <w:rsid w:val="004E640B"/>
    <w:rsid w:val="004E6FC5"/>
    <w:rsid w:val="004F111A"/>
    <w:rsid w:val="004F468B"/>
    <w:rsid w:val="004F6674"/>
    <w:rsid w:val="00501E13"/>
    <w:rsid w:val="00503DDD"/>
    <w:rsid w:val="0050562D"/>
    <w:rsid w:val="00506922"/>
    <w:rsid w:val="00507555"/>
    <w:rsid w:val="00522C97"/>
    <w:rsid w:val="00530C27"/>
    <w:rsid w:val="0053120F"/>
    <w:rsid w:val="005333A7"/>
    <w:rsid w:val="00534935"/>
    <w:rsid w:val="00535CE6"/>
    <w:rsid w:val="00541001"/>
    <w:rsid w:val="005412AA"/>
    <w:rsid w:val="00546649"/>
    <w:rsid w:val="00546D10"/>
    <w:rsid w:val="00554996"/>
    <w:rsid w:val="00555435"/>
    <w:rsid w:val="0055595D"/>
    <w:rsid w:val="0056267D"/>
    <w:rsid w:val="00563A76"/>
    <w:rsid w:val="00564264"/>
    <w:rsid w:val="005661FA"/>
    <w:rsid w:val="00570FBC"/>
    <w:rsid w:val="00572672"/>
    <w:rsid w:val="005765BB"/>
    <w:rsid w:val="00576A73"/>
    <w:rsid w:val="00577EAC"/>
    <w:rsid w:val="005938E2"/>
    <w:rsid w:val="00596D56"/>
    <w:rsid w:val="00597481"/>
    <w:rsid w:val="00597ACB"/>
    <w:rsid w:val="005A0E1B"/>
    <w:rsid w:val="005A7BA4"/>
    <w:rsid w:val="005B451D"/>
    <w:rsid w:val="005B62C7"/>
    <w:rsid w:val="005C0416"/>
    <w:rsid w:val="005C0C89"/>
    <w:rsid w:val="005C6C02"/>
    <w:rsid w:val="005D7E37"/>
    <w:rsid w:val="005E058C"/>
    <w:rsid w:val="005E352D"/>
    <w:rsid w:val="005E5D88"/>
    <w:rsid w:val="005F2019"/>
    <w:rsid w:val="005F2403"/>
    <w:rsid w:val="005F5C72"/>
    <w:rsid w:val="005F69A7"/>
    <w:rsid w:val="005F7A0E"/>
    <w:rsid w:val="00614D1F"/>
    <w:rsid w:val="00627780"/>
    <w:rsid w:val="00627A45"/>
    <w:rsid w:val="0063082E"/>
    <w:rsid w:val="00630A29"/>
    <w:rsid w:val="0063576C"/>
    <w:rsid w:val="00637B6F"/>
    <w:rsid w:val="00654E62"/>
    <w:rsid w:val="00660F91"/>
    <w:rsid w:val="006612AD"/>
    <w:rsid w:val="006613ED"/>
    <w:rsid w:val="00665C42"/>
    <w:rsid w:val="00671838"/>
    <w:rsid w:val="00671B1D"/>
    <w:rsid w:val="00692219"/>
    <w:rsid w:val="006943C0"/>
    <w:rsid w:val="00694B03"/>
    <w:rsid w:val="006A197C"/>
    <w:rsid w:val="006A5F4B"/>
    <w:rsid w:val="006A644F"/>
    <w:rsid w:val="006B389D"/>
    <w:rsid w:val="006B438B"/>
    <w:rsid w:val="006C02FE"/>
    <w:rsid w:val="006C0B12"/>
    <w:rsid w:val="006C5C82"/>
    <w:rsid w:val="006D2DBA"/>
    <w:rsid w:val="006D31C3"/>
    <w:rsid w:val="006E1603"/>
    <w:rsid w:val="006E5CC6"/>
    <w:rsid w:val="006F17AA"/>
    <w:rsid w:val="006F2377"/>
    <w:rsid w:val="006F2D10"/>
    <w:rsid w:val="006F5532"/>
    <w:rsid w:val="006F5909"/>
    <w:rsid w:val="0070399E"/>
    <w:rsid w:val="00731E84"/>
    <w:rsid w:val="00741422"/>
    <w:rsid w:val="0074522D"/>
    <w:rsid w:val="00751F60"/>
    <w:rsid w:val="00754568"/>
    <w:rsid w:val="00757296"/>
    <w:rsid w:val="00760511"/>
    <w:rsid w:val="00760F92"/>
    <w:rsid w:val="00791148"/>
    <w:rsid w:val="0079477D"/>
    <w:rsid w:val="00795961"/>
    <w:rsid w:val="007A17FB"/>
    <w:rsid w:val="007A3C3C"/>
    <w:rsid w:val="007A42B4"/>
    <w:rsid w:val="007A78B7"/>
    <w:rsid w:val="007B7F7E"/>
    <w:rsid w:val="007C41F5"/>
    <w:rsid w:val="007C7E63"/>
    <w:rsid w:val="007D32E3"/>
    <w:rsid w:val="00801097"/>
    <w:rsid w:val="00801A1E"/>
    <w:rsid w:val="00802BC7"/>
    <w:rsid w:val="00807568"/>
    <w:rsid w:val="00814107"/>
    <w:rsid w:val="00815779"/>
    <w:rsid w:val="0082278A"/>
    <w:rsid w:val="00822909"/>
    <w:rsid w:val="0083119A"/>
    <w:rsid w:val="00834F29"/>
    <w:rsid w:val="00835DCE"/>
    <w:rsid w:val="0083651B"/>
    <w:rsid w:val="008437F7"/>
    <w:rsid w:val="00857D57"/>
    <w:rsid w:val="00875545"/>
    <w:rsid w:val="00880A1B"/>
    <w:rsid w:val="00881462"/>
    <w:rsid w:val="00887803"/>
    <w:rsid w:val="00891342"/>
    <w:rsid w:val="008A096D"/>
    <w:rsid w:val="008A4CC1"/>
    <w:rsid w:val="008B0AD8"/>
    <w:rsid w:val="008B373D"/>
    <w:rsid w:val="008B4F35"/>
    <w:rsid w:val="008B6F23"/>
    <w:rsid w:val="008B7001"/>
    <w:rsid w:val="008B7F59"/>
    <w:rsid w:val="008D0B46"/>
    <w:rsid w:val="008D3C77"/>
    <w:rsid w:val="008E40FD"/>
    <w:rsid w:val="008F1AB2"/>
    <w:rsid w:val="008F683D"/>
    <w:rsid w:val="008F756C"/>
    <w:rsid w:val="008F7C06"/>
    <w:rsid w:val="008F7DAF"/>
    <w:rsid w:val="00904298"/>
    <w:rsid w:val="00906C56"/>
    <w:rsid w:val="00907534"/>
    <w:rsid w:val="00911EDA"/>
    <w:rsid w:val="009127D3"/>
    <w:rsid w:val="009164A8"/>
    <w:rsid w:val="00935D79"/>
    <w:rsid w:val="00944BD6"/>
    <w:rsid w:val="00945504"/>
    <w:rsid w:val="009515E8"/>
    <w:rsid w:val="009545DE"/>
    <w:rsid w:val="0095677D"/>
    <w:rsid w:val="00956D20"/>
    <w:rsid w:val="00956FAF"/>
    <w:rsid w:val="00961B41"/>
    <w:rsid w:val="00966AFA"/>
    <w:rsid w:val="00973017"/>
    <w:rsid w:val="00980865"/>
    <w:rsid w:val="009813C3"/>
    <w:rsid w:val="00983ADC"/>
    <w:rsid w:val="0098618B"/>
    <w:rsid w:val="009A1721"/>
    <w:rsid w:val="009A1E6F"/>
    <w:rsid w:val="009A43FF"/>
    <w:rsid w:val="009B121C"/>
    <w:rsid w:val="009B2481"/>
    <w:rsid w:val="009B2E81"/>
    <w:rsid w:val="009B2FC1"/>
    <w:rsid w:val="009B49FB"/>
    <w:rsid w:val="009D11FC"/>
    <w:rsid w:val="009E66B5"/>
    <w:rsid w:val="009F03A6"/>
    <w:rsid w:val="009F17B6"/>
    <w:rsid w:val="009F18D4"/>
    <w:rsid w:val="009F4AE5"/>
    <w:rsid w:val="009F638A"/>
    <w:rsid w:val="00A0018B"/>
    <w:rsid w:val="00A12B53"/>
    <w:rsid w:val="00A13FAF"/>
    <w:rsid w:val="00A1754B"/>
    <w:rsid w:val="00A22574"/>
    <w:rsid w:val="00A2388F"/>
    <w:rsid w:val="00A24562"/>
    <w:rsid w:val="00A24C70"/>
    <w:rsid w:val="00A27598"/>
    <w:rsid w:val="00A416D1"/>
    <w:rsid w:val="00A428BD"/>
    <w:rsid w:val="00A42976"/>
    <w:rsid w:val="00A44791"/>
    <w:rsid w:val="00A454C6"/>
    <w:rsid w:val="00A55455"/>
    <w:rsid w:val="00A651C5"/>
    <w:rsid w:val="00A65C31"/>
    <w:rsid w:val="00A71ED1"/>
    <w:rsid w:val="00A724B5"/>
    <w:rsid w:val="00A747F8"/>
    <w:rsid w:val="00A7705B"/>
    <w:rsid w:val="00A772FA"/>
    <w:rsid w:val="00A82B85"/>
    <w:rsid w:val="00A8419E"/>
    <w:rsid w:val="00A848C2"/>
    <w:rsid w:val="00A85FD0"/>
    <w:rsid w:val="00A867E9"/>
    <w:rsid w:val="00A967A6"/>
    <w:rsid w:val="00AA1042"/>
    <w:rsid w:val="00AA1463"/>
    <w:rsid w:val="00AB1C1C"/>
    <w:rsid w:val="00AB2FDE"/>
    <w:rsid w:val="00AB4E71"/>
    <w:rsid w:val="00AB7420"/>
    <w:rsid w:val="00AB7F78"/>
    <w:rsid w:val="00AC427E"/>
    <w:rsid w:val="00AD0EC2"/>
    <w:rsid w:val="00AD2AD9"/>
    <w:rsid w:val="00AE0F9A"/>
    <w:rsid w:val="00AF2875"/>
    <w:rsid w:val="00AF3742"/>
    <w:rsid w:val="00B006C3"/>
    <w:rsid w:val="00B06DB4"/>
    <w:rsid w:val="00B14D33"/>
    <w:rsid w:val="00B1716A"/>
    <w:rsid w:val="00B239B1"/>
    <w:rsid w:val="00B2688E"/>
    <w:rsid w:val="00B32178"/>
    <w:rsid w:val="00B3331B"/>
    <w:rsid w:val="00B3794E"/>
    <w:rsid w:val="00B40FE2"/>
    <w:rsid w:val="00B4749E"/>
    <w:rsid w:val="00B52FFE"/>
    <w:rsid w:val="00B5746A"/>
    <w:rsid w:val="00B60B78"/>
    <w:rsid w:val="00B75AF2"/>
    <w:rsid w:val="00B80088"/>
    <w:rsid w:val="00B8191C"/>
    <w:rsid w:val="00B82DB3"/>
    <w:rsid w:val="00B85105"/>
    <w:rsid w:val="00B85E98"/>
    <w:rsid w:val="00B9453E"/>
    <w:rsid w:val="00B959BC"/>
    <w:rsid w:val="00BA1203"/>
    <w:rsid w:val="00BA42D1"/>
    <w:rsid w:val="00BA6F01"/>
    <w:rsid w:val="00BB4BD6"/>
    <w:rsid w:val="00BB60A9"/>
    <w:rsid w:val="00BC0073"/>
    <w:rsid w:val="00BC366D"/>
    <w:rsid w:val="00BC724E"/>
    <w:rsid w:val="00BD1E8D"/>
    <w:rsid w:val="00BD33A8"/>
    <w:rsid w:val="00BD707E"/>
    <w:rsid w:val="00BE0E99"/>
    <w:rsid w:val="00BE1511"/>
    <w:rsid w:val="00BE5641"/>
    <w:rsid w:val="00BE734D"/>
    <w:rsid w:val="00BF3F0F"/>
    <w:rsid w:val="00BF5ED7"/>
    <w:rsid w:val="00C00766"/>
    <w:rsid w:val="00C127B0"/>
    <w:rsid w:val="00C1684C"/>
    <w:rsid w:val="00C240E1"/>
    <w:rsid w:val="00C251F2"/>
    <w:rsid w:val="00C26C7F"/>
    <w:rsid w:val="00C26FD0"/>
    <w:rsid w:val="00C346BD"/>
    <w:rsid w:val="00C4024C"/>
    <w:rsid w:val="00C41FA0"/>
    <w:rsid w:val="00C42AC1"/>
    <w:rsid w:val="00C43733"/>
    <w:rsid w:val="00C45B57"/>
    <w:rsid w:val="00C4656A"/>
    <w:rsid w:val="00C47E01"/>
    <w:rsid w:val="00C5469E"/>
    <w:rsid w:val="00C55C9A"/>
    <w:rsid w:val="00C659BE"/>
    <w:rsid w:val="00C70F15"/>
    <w:rsid w:val="00C715A7"/>
    <w:rsid w:val="00C72072"/>
    <w:rsid w:val="00C75E00"/>
    <w:rsid w:val="00C82F96"/>
    <w:rsid w:val="00C849F7"/>
    <w:rsid w:val="00C9009B"/>
    <w:rsid w:val="00C91752"/>
    <w:rsid w:val="00C92664"/>
    <w:rsid w:val="00C96CC9"/>
    <w:rsid w:val="00C96EDD"/>
    <w:rsid w:val="00CA43FC"/>
    <w:rsid w:val="00CA649C"/>
    <w:rsid w:val="00CB2EB0"/>
    <w:rsid w:val="00CB351C"/>
    <w:rsid w:val="00CC53D2"/>
    <w:rsid w:val="00CC74F9"/>
    <w:rsid w:val="00CE1630"/>
    <w:rsid w:val="00CE5A8B"/>
    <w:rsid w:val="00CE5DAD"/>
    <w:rsid w:val="00CF34F3"/>
    <w:rsid w:val="00CF6D07"/>
    <w:rsid w:val="00D02660"/>
    <w:rsid w:val="00D05386"/>
    <w:rsid w:val="00D12DF8"/>
    <w:rsid w:val="00D175A1"/>
    <w:rsid w:val="00D24585"/>
    <w:rsid w:val="00D3025D"/>
    <w:rsid w:val="00D305A1"/>
    <w:rsid w:val="00D40F4F"/>
    <w:rsid w:val="00D42BC2"/>
    <w:rsid w:val="00D45FE4"/>
    <w:rsid w:val="00D46043"/>
    <w:rsid w:val="00D568E4"/>
    <w:rsid w:val="00D607B2"/>
    <w:rsid w:val="00D701F0"/>
    <w:rsid w:val="00D7737B"/>
    <w:rsid w:val="00D92217"/>
    <w:rsid w:val="00D940F9"/>
    <w:rsid w:val="00D95509"/>
    <w:rsid w:val="00DA55E5"/>
    <w:rsid w:val="00DA7A86"/>
    <w:rsid w:val="00DB0EA1"/>
    <w:rsid w:val="00DC11B3"/>
    <w:rsid w:val="00DC3E89"/>
    <w:rsid w:val="00DD2E9A"/>
    <w:rsid w:val="00DD3265"/>
    <w:rsid w:val="00DD5655"/>
    <w:rsid w:val="00E00FC8"/>
    <w:rsid w:val="00E02B4F"/>
    <w:rsid w:val="00E02F0D"/>
    <w:rsid w:val="00E07681"/>
    <w:rsid w:val="00E111C3"/>
    <w:rsid w:val="00E14DA4"/>
    <w:rsid w:val="00E15F00"/>
    <w:rsid w:val="00E31926"/>
    <w:rsid w:val="00E35099"/>
    <w:rsid w:val="00E37883"/>
    <w:rsid w:val="00E37E26"/>
    <w:rsid w:val="00E42397"/>
    <w:rsid w:val="00E4412B"/>
    <w:rsid w:val="00E476C2"/>
    <w:rsid w:val="00E55679"/>
    <w:rsid w:val="00E55C16"/>
    <w:rsid w:val="00E563A4"/>
    <w:rsid w:val="00E6527D"/>
    <w:rsid w:val="00E71BA4"/>
    <w:rsid w:val="00E72E63"/>
    <w:rsid w:val="00E73A35"/>
    <w:rsid w:val="00E740DB"/>
    <w:rsid w:val="00E8038C"/>
    <w:rsid w:val="00E81B9A"/>
    <w:rsid w:val="00E83AF7"/>
    <w:rsid w:val="00E851D8"/>
    <w:rsid w:val="00E85250"/>
    <w:rsid w:val="00E872AC"/>
    <w:rsid w:val="00E95EDB"/>
    <w:rsid w:val="00E96945"/>
    <w:rsid w:val="00E97CFB"/>
    <w:rsid w:val="00EA7A38"/>
    <w:rsid w:val="00EB496E"/>
    <w:rsid w:val="00EC0CD9"/>
    <w:rsid w:val="00EC25DC"/>
    <w:rsid w:val="00ED5287"/>
    <w:rsid w:val="00EE0126"/>
    <w:rsid w:val="00EE0D5D"/>
    <w:rsid w:val="00EE6A59"/>
    <w:rsid w:val="00EE78ED"/>
    <w:rsid w:val="00EF17E2"/>
    <w:rsid w:val="00F0041F"/>
    <w:rsid w:val="00F01943"/>
    <w:rsid w:val="00F218CF"/>
    <w:rsid w:val="00F237A8"/>
    <w:rsid w:val="00F273DD"/>
    <w:rsid w:val="00F33D44"/>
    <w:rsid w:val="00F343AF"/>
    <w:rsid w:val="00F374CB"/>
    <w:rsid w:val="00F40420"/>
    <w:rsid w:val="00F474D3"/>
    <w:rsid w:val="00F47BA9"/>
    <w:rsid w:val="00F5008C"/>
    <w:rsid w:val="00F505C4"/>
    <w:rsid w:val="00F52A37"/>
    <w:rsid w:val="00F57D69"/>
    <w:rsid w:val="00F62322"/>
    <w:rsid w:val="00F64744"/>
    <w:rsid w:val="00F66D67"/>
    <w:rsid w:val="00F74C30"/>
    <w:rsid w:val="00F8192B"/>
    <w:rsid w:val="00F86B54"/>
    <w:rsid w:val="00F94CF3"/>
    <w:rsid w:val="00FA3789"/>
    <w:rsid w:val="00FB04F0"/>
    <w:rsid w:val="00FB1ADA"/>
    <w:rsid w:val="00FB272E"/>
    <w:rsid w:val="00FC1182"/>
    <w:rsid w:val="00FC1416"/>
    <w:rsid w:val="00FD5D41"/>
    <w:rsid w:val="00FE5292"/>
    <w:rsid w:val="00FF14D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AA1A3"/>
  <w14:defaultImageDpi w14:val="300"/>
  <w15:docId w15:val="{BF9201D3-F8C0-DA47-8FE4-BE777B0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2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319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lietextdeutsch">
    <w:name w:val="Standardfließtext (deutsch)"/>
    <w:basedOn w:val="Standard"/>
    <w:next w:val="Standard"/>
    <w:qFormat/>
    <w:rsid w:val="00BE0E99"/>
    <w:pPr>
      <w:spacing w:line="360" w:lineRule="auto"/>
      <w:jc w:val="both"/>
    </w:pPr>
    <w:rPr>
      <w:rFonts w:ascii="Times New Roman" w:hAnsi="Times New Roman" w:cs="Times New Roman"/>
    </w:rPr>
  </w:style>
  <w:style w:type="paragraph" w:customStyle="1" w:styleId="berschriftA">
    <w:name w:val="Überschrift A"/>
    <w:basedOn w:val="Standard"/>
    <w:qFormat/>
    <w:rsid w:val="00BE0E9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cs="Times New Roman"/>
      <w:b/>
      <w:szCs w:val="22"/>
      <w:lang w:val="en-GB"/>
    </w:rPr>
  </w:style>
  <w:style w:type="paragraph" w:styleId="Listenabsatz">
    <w:name w:val="List Paragraph"/>
    <w:basedOn w:val="Standard"/>
    <w:uiPriority w:val="34"/>
    <w:qFormat/>
    <w:rsid w:val="00BA6F0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00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41F"/>
    <w:rPr>
      <w:rFonts w:asciiTheme="minorHAnsi" w:hAnsiTheme="minorHAnsi" w:cstheme="minorBidi"/>
    </w:rPr>
  </w:style>
  <w:style w:type="character" w:styleId="Seitenzahl">
    <w:name w:val="page number"/>
    <w:basedOn w:val="Absatz-Standardschriftart"/>
    <w:uiPriority w:val="99"/>
    <w:semiHidden/>
    <w:unhideWhenUsed/>
    <w:rsid w:val="00F0041F"/>
  </w:style>
  <w:style w:type="paragraph" w:styleId="Kopfzeile">
    <w:name w:val="header"/>
    <w:basedOn w:val="Standard"/>
    <w:link w:val="KopfzeileZchn"/>
    <w:uiPriority w:val="99"/>
    <w:unhideWhenUsed/>
    <w:rsid w:val="00F00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41F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C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C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C70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C70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C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C7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21367"/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974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748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476C2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C11B3"/>
  </w:style>
  <w:style w:type="character" w:customStyle="1" w:styleId="FunotentextZchn">
    <w:name w:val="Fußnotentext Zchn"/>
    <w:basedOn w:val="Absatz-Standardschriftart"/>
    <w:link w:val="Funotentext"/>
    <w:uiPriority w:val="99"/>
    <w:rsid w:val="00DC11B3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unhideWhenUsed/>
    <w:rsid w:val="00DC11B3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319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1926"/>
    <w:rPr>
      <w:rFonts w:eastAsia="Times New Roman"/>
      <w:b/>
      <w:bCs/>
      <w:sz w:val="27"/>
      <w:szCs w:val="2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4264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2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urrent-selection">
    <w:name w:val="current-selection"/>
    <w:basedOn w:val="Absatz-Standardschriftart"/>
    <w:rsid w:val="000A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5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7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06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72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9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americananthro.org/category/state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gska.de/wp-content/uploads/2016/07/DGV-Ethikerklaerung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americananthro.org/ethics-statement-1-do-no-harm/" TargetMode="External"/><Relationship Id="rId13" Type="http://schemas.openxmlformats.org/officeDocument/2006/relationships/hyperlink" Target="http://ethics.americananthro.org/ethics-statement-5-make-your-results-accessible/" TargetMode="External"/><Relationship Id="rId18" Type="http://schemas.openxmlformats.org/officeDocument/2006/relationships/hyperlink" Target="https://www.dgska.de/dgska/ethik/" TargetMode="External"/><Relationship Id="rId3" Type="http://schemas.openxmlformats.org/officeDocument/2006/relationships/hyperlink" Target="https://www.econstor.eu/bitstream/10419/129793/1/852712170.pdf" TargetMode="External"/><Relationship Id="rId7" Type="http://schemas.openxmlformats.org/officeDocument/2006/relationships/hyperlink" Target="https://research.virginia.edu/sites/vpr/files/SBS%20Consent/IRB-SBS%20Oral%20Consent%20Card.docx" TargetMode="External"/><Relationship Id="rId12" Type="http://schemas.openxmlformats.org/officeDocument/2006/relationships/hyperlink" Target="https://easaonline.org/newsletter/75-0120/guidelines" TargetMode="External"/><Relationship Id="rId17" Type="http://schemas.openxmlformats.org/officeDocument/2006/relationships/hyperlink" Target="https://easaonline.org/networks/ethics/" TargetMode="External"/><Relationship Id="rId2" Type="http://schemas.openxmlformats.org/officeDocument/2006/relationships/hyperlink" Target="https://ec.europa.eu/research/participants/data/ref/h2020/grants_manual/hi/ethics/h2020_hi_ethics-self-assess_en.pdf" TargetMode="External"/><Relationship Id="rId16" Type="http://schemas.openxmlformats.org/officeDocument/2006/relationships/hyperlink" Target="https://journals.sagepub.com/doi/pdf/10.1177/1466138119843312" TargetMode="External"/><Relationship Id="rId20" Type="http://schemas.openxmlformats.org/officeDocument/2006/relationships/hyperlink" Target="https://fieldworkethics.de/" TargetMode="External"/><Relationship Id="rId1" Type="http://schemas.openxmlformats.org/officeDocument/2006/relationships/hyperlink" Target="%20http:/www.pre.ethics.gc.ca/eng/policy-politique/initiatives/tcps2-eptc2/Default/%20%20" TargetMode="External"/><Relationship Id="rId6" Type="http://schemas.openxmlformats.org/officeDocument/2006/relationships/hyperlink" Target="http://ethics.americananthro.org/ethics-statement-3-obtain-informed-consent-and-necessary-permissions/" TargetMode="External"/><Relationship Id="rId11" Type="http://schemas.openxmlformats.org/officeDocument/2006/relationships/hyperlink" Target="https://www.easaonline.org/downloads/support/EASA%20statement%20on%20data%20governance.pdf" TargetMode="External"/><Relationship Id="rId5" Type="http://schemas.openxmlformats.org/officeDocument/2006/relationships/hyperlink" Target="https://ec.europa.eu/research/participants/data/ref/h2020/other/hi/ethics-guide-ethnog-anthrop_en.pdf" TargetMode="External"/><Relationship Id="rId15" Type="http://schemas.openxmlformats.org/officeDocument/2006/relationships/hyperlink" Target="https://en.dgska.de/wp-content/uploads/2019/12/Positionspapier_Bearbeitet-fu%CC%88r-MV_EN_29.11.2019.pdf" TargetMode="External"/><Relationship Id="rId10" Type="http://schemas.openxmlformats.org/officeDocument/2006/relationships/hyperlink" Target="http://ethics.americananthro.org/ethics-statement-4-weigh-competing-ethical-obligations-due-collaborators-and-affected-parties/" TargetMode="External"/><Relationship Id="rId19" Type="http://schemas.openxmlformats.org/officeDocument/2006/relationships/hyperlink" Target="https://www.elon.edu/u/academics/percs/resources/ethics/" TargetMode="External"/><Relationship Id="rId4" Type="http://schemas.openxmlformats.org/officeDocument/2006/relationships/hyperlink" Target="http://www.qualitative-research.net/index.php/fqs/article/view/2719" TargetMode="External"/><Relationship Id="rId9" Type="http://schemas.openxmlformats.org/officeDocument/2006/relationships/hyperlink" Target="http://ethics.americananthro.org/ethics-statement-3-obtain-informed-consent-and-necessary-permissions/" TargetMode="External"/><Relationship Id="rId14" Type="http://schemas.openxmlformats.org/officeDocument/2006/relationships/hyperlink" Target="http://ethics.americananthro.org/ethics-statement-6-protect-and-preserve-your-record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6225-7A56-4705-9744-8E781A3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Kirsch</dc:creator>
  <cp:keywords/>
  <dc:description/>
  <cp:lastModifiedBy>Schönhuth, Michael, Univ.-Prof. Dr.</cp:lastModifiedBy>
  <cp:revision>2</cp:revision>
  <cp:lastPrinted>2021-09-07T11:15:00Z</cp:lastPrinted>
  <dcterms:created xsi:type="dcterms:W3CDTF">2021-09-07T16:54:00Z</dcterms:created>
  <dcterms:modified xsi:type="dcterms:W3CDTF">2021-09-07T16:54:00Z</dcterms:modified>
</cp:coreProperties>
</file>